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360" w:before="200"/>
        <w:ind w:firstLine="397"/>
        <w:jc w:val="center"/>
      </w:pPr>
      <w:r>
        <w:rPr>
          <w:rFonts w:ascii="Arial" w:cs="Arial" w:eastAsia="Arial" w:hAnsi="Arial"/>
          <w:b/>
          <w:bCs/>
          <w:sz w:val="32"/>
          <w:szCs w:val="32"/>
        </w:rPr>
        <w:t xml:space="preserve">ПОСТАНОВЛЕНИЕ КАБИНЕТА МИНИСТРОВ КЫРГЫЗСКОЙ РЕСПУБЛИКИ</w:t>
      </w:r>
    </w:p>
    <w:p>
      <w:pPr>
        <w:spacing w:after="240"/>
        <w:jc w:val="both"/>
      </w:pPr>
      <w:r>
        <w:rPr>
          <w:rFonts w:ascii="Arial" w:cs="Arial" w:eastAsia="Arial" w:hAnsi="Arial"/>
          <w:sz w:val="24"/>
          <w:szCs w:val="24"/>
        </w:rPr>
        <w:t xml:space="preserve">от </w:t>
      </w:r>
      <w:r>
        <w:rPr>
          <w:rFonts w:ascii="Arial" w:cs="Arial" w:eastAsia="Arial" w:hAnsi="Arial"/>
          <w:sz w:val="24"/>
          <w:szCs w:val="24"/>
        </w:rPr>
        <w:t xml:space="preserve">7 июня</w:t>
      </w:r>
      <w:r>
        <w:rPr>
          <w:rFonts w:ascii="Arial" w:cs="Arial" w:eastAsia="Arial" w:hAnsi="Arial"/>
          <w:sz w:val="24"/>
          <w:szCs w:val="24"/>
        </w:rPr>
        <w:t xml:space="preserve"> 202</w:t>
      </w:r>
      <w:r>
        <w:rPr>
          <w:rFonts w:ascii="Arial" w:cs="Arial" w:eastAsia="Arial" w:hAnsi="Arial"/>
          <w:sz w:val="24"/>
          <w:szCs w:val="24"/>
        </w:rPr>
        <w:t xml:space="preserve">4</w:t>
      </w:r>
      <w:r>
        <w:rPr>
          <w:rFonts w:ascii="Arial" w:cs="Arial" w:eastAsia="Arial" w:hAnsi="Arial"/>
          <w:sz w:val="24"/>
          <w:szCs w:val="24"/>
        </w:rPr>
        <w:t xml:space="preserve"> года № </w:t>
      </w:r>
      <w:r>
        <w:rPr>
          <w:rFonts w:ascii="Arial" w:cs="Arial" w:eastAsia="Arial" w:hAnsi="Arial"/>
          <w:sz w:val="24"/>
          <w:szCs w:val="24"/>
        </w:rPr>
        <w:t xml:space="preserve">301</w:t>
      </w:r>
    </w:p>
    <w:p>
      <w:pPr>
        <w:spacing w:after="480" w:before="200"/>
        <w:jc w:val="center"/>
      </w:pPr>
      <w:r>
        <w:rPr>
          <w:rFonts w:ascii="Arial" w:cs="Arial" w:eastAsia="Arial" w:hAnsi="Arial"/>
          <w:b/>
          <w:bCs/>
          <w:sz w:val="28"/>
          <w:szCs w:val="28"/>
        </w:rPr>
        <w:t xml:space="preserve">О внесении изменений в некоторые решения Правительства Кыргызской Республики в сфере защиты депозитов</w:t>
      </w:r>
    </w:p>
    <w:p>
      <w:pPr>
        <w:spacing w:after="120"/>
        <w:ind w:firstLine="397"/>
        <w:jc w:val="both"/>
      </w:pPr>
      <w:r>
        <w:rPr>
          <w:rFonts w:ascii="Arial" w:cs="Arial" w:eastAsia="Arial" w:hAnsi="Arial"/>
          <w:sz w:val="24"/>
          <w:szCs w:val="24"/>
        </w:rPr>
        <w:t xml:space="preserve">В целях приведения решений Правительства Кыргызской Республики в соответствие с </w:t>
      </w:r>
      <w:hyperlink w:history="1" r:id="rIdrjf36slymhi4ocezh1gzw">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защите банковских вкладов (депозитов)», в соответствии со статьями </w:t>
      </w:r>
      <w:hyperlink w:history="1" r:id="rIduzqpxnr8ltkxozhqgpfkv">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fpkrklstjyspu8kekwibf">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Внести в </w:t>
      </w:r>
      <w:hyperlink w:history="1" r:id="rIdgdknskzilthtdyrwigxx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k-oco38xxo-1u0pzuckea">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расчета взносов в Фонд защиты депозитов» от 11 декабря 2008 года № 687 следующие изменения:</w:t>
      </w:r>
    </w:p>
    <w:p>
      <w:pPr>
        <w:spacing w:after="120"/>
        <w:ind w:firstLine="397"/>
        <w:jc w:val="both"/>
      </w:pPr>
      <w:r>
        <w:rPr>
          <w:rFonts w:ascii="Arial" w:cs="Arial" w:eastAsia="Arial" w:hAnsi="Arial"/>
          <w:sz w:val="24"/>
          <w:szCs w:val="24"/>
        </w:rPr>
        <w:t xml:space="preserve">в </w:t>
      </w:r>
      <w:hyperlink w:history="1" r:id="rIdkhyzdjy0y3bxvaogcakvb">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порядке расчета взносов в Фонд защиты депозитов, утвержденном вышеуказанным </w:t>
      </w:r>
      <w:hyperlink w:history="1" r:id="rIdhg8fdb9a22onbbkif1wx6">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в пункте 1.1 слова «с законами Кыргызской Республики «</w:t>
      </w:r>
      <w:hyperlink w:history="1" r:id="rIdeoz_zw4umxuq5ovllztnk">
        <w:r>
          <w:rPr>
            <w:rFonts w:ascii="Arial" w:cs="Arial" w:eastAsia="Arial" w:hAnsi="Arial"/>
            <w:color w:val="1D4ED8"/>
            <w:sz w:val="24"/>
            <w:szCs w:val="24"/>
            <w:u w:val="single"/>
          </w:rPr>
          <w:t xml:space="preserve">О защите банковских вкладов (депозитов)</w:t>
        </w:r>
      </w:hyperlink>
      <w:r>
        <w:rPr>
          <w:rFonts w:ascii="Arial" w:cs="Arial" w:eastAsia="Arial" w:hAnsi="Arial"/>
          <w:sz w:val="24"/>
          <w:szCs w:val="24"/>
        </w:rPr>
        <w:t xml:space="preserve">», «</w:t>
      </w:r>
      <w:hyperlink w:history="1" r:id="rIdh0s0jn8spwaxzaaljzrmz">
        <w:r>
          <w:rPr>
            <w:rFonts w:ascii="Arial" w:cs="Arial" w:eastAsia="Arial" w:hAnsi="Arial"/>
            <w:color w:val="1D4ED8"/>
            <w:sz w:val="24"/>
            <w:szCs w:val="24"/>
            <w:u w:val="single"/>
          </w:rPr>
          <w:t xml:space="preserve">О Национальном банке Кыргызской Республики, банках и банковской деятельности</w:t>
        </w:r>
      </w:hyperlink>
      <w:r>
        <w:rPr>
          <w:rFonts w:ascii="Arial" w:cs="Arial" w:eastAsia="Arial" w:hAnsi="Arial"/>
          <w:sz w:val="24"/>
          <w:szCs w:val="24"/>
        </w:rPr>
        <w:t xml:space="preserve">» заменить словами «с </w:t>
      </w:r>
      <w:hyperlink w:history="1" r:id="rIdz2n0wer7niebxyc-w2xec">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защите банковских вкладов (депозитов)», </w:t>
      </w:r>
      <w:hyperlink w:history="1" r:id="rIdneu74gpszgztdg3ipu_lf">
        <w:r>
          <w:rPr>
            <w:rFonts w:ascii="Arial" w:cs="Arial" w:eastAsia="Arial" w:hAnsi="Arial"/>
            <w:color w:val="1D4ED8"/>
            <w:sz w:val="24"/>
            <w:szCs w:val="24"/>
            <w:u w:val="single"/>
          </w:rPr>
          <w:t xml:space="preserve">конституционным Законом</w:t>
        </w:r>
      </w:hyperlink>
      <w:r>
        <w:rPr>
          <w:rFonts w:ascii="Arial" w:cs="Arial" w:eastAsia="Arial" w:hAnsi="Arial"/>
          <w:sz w:val="24"/>
          <w:szCs w:val="24"/>
        </w:rPr>
        <w:t xml:space="preserve"> Кыргызской Республики «О Национальном банке Кыргызской Республики»;</w:t>
      </w:r>
    </w:p>
    <w:p>
      <w:pPr>
        <w:spacing w:after="120"/>
        <w:ind w:firstLine="397"/>
        <w:jc w:val="both"/>
      </w:pPr>
      <w:r>
        <w:rPr>
          <w:rFonts w:ascii="Arial" w:cs="Arial" w:eastAsia="Arial" w:hAnsi="Arial"/>
          <w:sz w:val="24"/>
          <w:szCs w:val="24"/>
        </w:rPr>
        <w:t xml:space="preserve">- в пункте 2.8:</w:t>
      </w:r>
    </w:p>
    <w:p>
      <w:pPr>
        <w:spacing w:after="120"/>
        <w:ind w:firstLine="397"/>
        <w:jc w:val="both"/>
      </w:pPr>
      <w:r>
        <w:rPr>
          <w:rFonts w:ascii="Arial" w:cs="Arial" w:eastAsia="Arial" w:hAnsi="Arial"/>
          <w:sz w:val="24"/>
          <w:szCs w:val="24"/>
        </w:rPr>
        <w:t xml:space="preserve">после слова «лиц» дополнить словами «, индивидуальных предпринимателей и счетах электронных денег, эмитируемых банком, держателями которых являются физические лица и индивидуальные предприниматели»;</w:t>
      </w:r>
    </w:p>
    <w:p>
      <w:pPr>
        <w:spacing w:after="120"/>
        <w:ind w:firstLine="397"/>
        <w:jc w:val="both"/>
      </w:pPr>
      <w:r>
        <w:rPr>
          <w:rFonts w:ascii="Arial" w:cs="Arial" w:eastAsia="Arial" w:hAnsi="Arial"/>
          <w:sz w:val="24"/>
          <w:szCs w:val="24"/>
        </w:rPr>
        <w:t xml:space="preserve">слово «учетный» заменить словом «официальный».</w:t>
      </w:r>
    </w:p>
    <w:p>
      <w:pPr>
        <w:spacing w:after="120"/>
        <w:ind w:firstLine="397"/>
        <w:jc w:val="both"/>
      </w:pPr>
      <w:r>
        <w:rPr>
          <w:rFonts w:ascii="Arial" w:cs="Arial" w:eastAsia="Arial" w:hAnsi="Arial"/>
          <w:sz w:val="24"/>
          <w:szCs w:val="24"/>
        </w:rPr>
        <w:t xml:space="preserve">2. Внести в </w:t>
      </w:r>
      <w:hyperlink w:history="1" r:id="rIdcdf4cujbhgjs6e6y16bk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2jfrmadsjbcboa0mrzizn">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о форме отчетности банка-участника, микрофинансовой компании-участника, жилищно-сберегательной кредитной компании-участника системы защиты депозитов, представляемой Агентству по защите депозитов Кыргызской Республики» от 25 ноября 2010 года № 297 следующие изменения:</w:t>
      </w:r>
    </w:p>
    <w:p>
      <w:pPr>
        <w:spacing w:after="120"/>
        <w:ind w:firstLine="397"/>
        <w:jc w:val="both"/>
      </w:pPr>
      <w:r>
        <w:rPr>
          <w:rFonts w:ascii="Arial" w:cs="Arial" w:eastAsia="Arial" w:hAnsi="Arial"/>
          <w:sz w:val="24"/>
          <w:szCs w:val="24"/>
        </w:rPr>
        <w:t xml:space="preserve">в </w:t>
      </w:r>
      <w:hyperlink w:history="1" r:id="rIdmugzjakf5nwyuf15ek0t-">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о форме отчетности банка-участника, микрофинансовой компании-участника, жилищно-сберегательной кредитной компании-участника системы защиты депозитов, представляемой Агентству по защите депозитов Кыргызской Республики, утвержденной вышеуказанным </w:t>
      </w:r>
      <w:hyperlink w:history="1" r:id="rId7rydsqqisjiyo23z_e4g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t>
      </w:r>
      <w:hyperlink w:history="1" r:id="rIdv80ve1wyhnyvv4tkapf4m">
        <w:r>
          <w:rPr>
            <w:rFonts w:ascii="Arial" w:cs="Arial" w:eastAsia="Arial" w:hAnsi="Arial"/>
            <w:color w:val="1D4ED8"/>
            <w:sz w:val="24"/>
            <w:szCs w:val="24"/>
            <w:u w:val="single"/>
          </w:rPr>
          <w:t xml:space="preserve">пункт 17</w:t>
        </w:r>
      </w:hyperlink>
      <w:r>
        <w:rPr>
          <w:rFonts w:ascii="Arial" w:cs="Arial" w:eastAsia="Arial" w:hAnsi="Arial"/>
          <w:sz w:val="24"/>
          <w:szCs w:val="24"/>
        </w:rPr>
        <w:t xml:space="preserve"> после слов «срочные депозиты юридических лиц и индивидуальных предпринимателей» дополнить словами «, счета электронных денег, эмитируемых банком, держателями которых являются физические лица и индивидуальные предприниматели»;</w:t>
      </w:r>
    </w:p>
    <w:p>
      <w:pPr>
        <w:spacing w:after="120"/>
        <w:ind w:firstLine="397"/>
        <w:jc w:val="both"/>
      </w:pPr>
      <w:r>
        <w:rPr>
          <w:rFonts w:ascii="Arial" w:cs="Arial" w:eastAsia="Arial" w:hAnsi="Arial"/>
          <w:sz w:val="24"/>
          <w:szCs w:val="24"/>
        </w:rPr>
        <w:t xml:space="preserve">- в пунктах </w:t>
      </w:r>
      <w:hyperlink w:history="1" r:id="rIdfitf5-aw9hkzctpkrlzjr">
        <w:r>
          <w:rPr>
            <w:rFonts w:ascii="Arial" w:cs="Arial" w:eastAsia="Arial" w:hAnsi="Arial"/>
            <w:color w:val="1D4ED8"/>
            <w:sz w:val="24"/>
            <w:szCs w:val="24"/>
            <w:u w:val="single"/>
          </w:rPr>
          <w:t xml:space="preserve">19</w:t>
        </w:r>
      </w:hyperlink>
      <w:r>
        <w:rPr>
          <w:rFonts w:ascii="Arial" w:cs="Arial" w:eastAsia="Arial" w:hAnsi="Arial"/>
          <w:sz w:val="24"/>
          <w:szCs w:val="24"/>
        </w:rPr>
        <w:t xml:space="preserve">, </w:t>
      </w:r>
      <w:hyperlink w:history="1" r:id="rIdp2qz9ia1o2peq_qvaf6ek">
        <w:r>
          <w:rPr>
            <w:rFonts w:ascii="Arial" w:cs="Arial" w:eastAsia="Arial" w:hAnsi="Arial"/>
            <w:color w:val="1D4ED8"/>
            <w:sz w:val="24"/>
            <w:szCs w:val="24"/>
            <w:u w:val="single"/>
          </w:rPr>
          <w:t xml:space="preserve">28</w:t>
        </w:r>
      </w:hyperlink>
      <w:r>
        <w:rPr>
          <w:rFonts w:ascii="Arial" w:cs="Arial" w:eastAsia="Arial" w:hAnsi="Arial"/>
          <w:sz w:val="24"/>
          <w:szCs w:val="24"/>
        </w:rPr>
        <w:t xml:space="preserve">, </w:t>
      </w:r>
      <w:hyperlink w:history="1" r:id="rId2ajqmq2fi_h1blx7fsar7">
        <w:r>
          <w:rPr>
            <w:rFonts w:ascii="Arial" w:cs="Arial" w:eastAsia="Arial" w:hAnsi="Arial"/>
            <w:color w:val="1D4ED8"/>
            <w:sz w:val="24"/>
            <w:szCs w:val="24"/>
            <w:u w:val="single"/>
          </w:rPr>
          <w:t xml:space="preserve">34</w:t>
        </w:r>
      </w:hyperlink>
      <w:r>
        <w:rPr>
          <w:rFonts w:ascii="Arial" w:cs="Arial" w:eastAsia="Arial" w:hAnsi="Arial"/>
          <w:sz w:val="24"/>
          <w:szCs w:val="24"/>
        </w:rPr>
        <w:t xml:space="preserve"> слово «учетному» заменить словом «официальному»;</w:t>
      </w:r>
    </w:p>
    <w:p>
      <w:pPr>
        <w:spacing w:after="120"/>
        <w:ind w:firstLine="397"/>
        <w:jc w:val="both"/>
      </w:pPr>
      <w:r>
        <w:rPr>
          <w:rFonts w:ascii="Arial" w:cs="Arial" w:eastAsia="Arial" w:hAnsi="Arial"/>
          <w:sz w:val="24"/>
          <w:szCs w:val="24"/>
        </w:rPr>
        <w:t xml:space="preserve">- абзацы второй и третий </w:t>
      </w:r>
      <w:hyperlink w:history="1" r:id="rIdwidhoubrzton54lbymcjw">
        <w:r>
          <w:rPr>
            <w:rFonts w:ascii="Arial" w:cs="Arial" w:eastAsia="Arial" w:hAnsi="Arial"/>
            <w:color w:val="1D4ED8"/>
            <w:sz w:val="24"/>
            <w:szCs w:val="24"/>
            <w:u w:val="single"/>
          </w:rPr>
          <w:t xml:space="preserve">пункта 22</w:t>
        </w:r>
      </w:hyperlink>
      <w:r>
        <w:rPr>
          <w:rFonts w:ascii="Arial" w:cs="Arial" w:eastAsia="Arial" w:hAnsi="Arial"/>
          <w:sz w:val="24"/>
          <w:szCs w:val="24"/>
        </w:rPr>
        <w:t xml:space="preserve"> изложить в следующей редакции:</w:t>
      </w:r>
    </w:p>
    <w:p>
      <w:pPr>
        <w:spacing w:after="120"/>
        <w:ind w:firstLine="397"/>
        <w:jc w:val="both"/>
      </w:pPr>
      <w:r>
        <w:rPr>
          <w:rFonts w:ascii="Arial" w:cs="Arial" w:eastAsia="Arial" w:hAnsi="Arial"/>
          <w:sz w:val="24"/>
          <w:szCs w:val="24"/>
        </w:rPr>
        <w:t xml:space="preserve">«В позицию «Сумма депозитов физических лиц, тысяч сомов» включаются депозитные счета физических лиц, счета электронных денег, эмитируемых банком, держателями которых являются физические лица согласно утвержденному Плану счетов бухгалтерского учета банка, МФК, ЖСКК.</w:t>
      </w:r>
    </w:p>
    <w:p>
      <w:pPr>
        <w:spacing w:after="120"/>
        <w:ind w:firstLine="397"/>
        <w:jc w:val="both"/>
      </w:pPr>
      <w:r>
        <w:rPr>
          <w:rFonts w:ascii="Arial" w:cs="Arial" w:eastAsia="Arial" w:hAnsi="Arial"/>
          <w:sz w:val="24"/>
          <w:szCs w:val="24"/>
        </w:rPr>
        <w:t xml:space="preserve">В позицию «Сумма депозитов индивидуальных предпринимателей, тысяч сомов» включаются депозитные счета индивидуальных предпринимателей, счета электронных денег, эмитируемых банком, держателями которых являются индивидуальные предприниматели согласно утвержденному Плану счетов бухгалтерского учета банка, МФК, ЖСКК.»;</w:t>
      </w:r>
    </w:p>
    <w:p>
      <w:pPr>
        <w:spacing w:after="120"/>
        <w:ind w:firstLine="397"/>
        <w:jc w:val="both"/>
      </w:pPr>
      <w:r>
        <w:rPr>
          <w:rFonts w:ascii="Arial" w:cs="Arial" w:eastAsia="Arial" w:hAnsi="Arial"/>
          <w:sz w:val="24"/>
          <w:szCs w:val="24"/>
        </w:rPr>
        <w:t xml:space="preserve">- </w:t>
      </w:r>
      <w:hyperlink w:history="1" r:id="rIdimrae6nrsn8qkjmkh3hf0">
        <w:r>
          <w:rPr>
            <w:rFonts w:ascii="Arial" w:cs="Arial" w:eastAsia="Arial" w:hAnsi="Arial"/>
            <w:color w:val="1D4ED8"/>
            <w:sz w:val="24"/>
            <w:szCs w:val="24"/>
            <w:u w:val="single"/>
          </w:rPr>
          <w:t xml:space="preserve">пункт 26</w:t>
        </w:r>
      </w:hyperlink>
      <w:r>
        <w:rPr>
          <w:rFonts w:ascii="Arial" w:cs="Arial" w:eastAsia="Arial" w:hAnsi="Arial"/>
          <w:sz w:val="24"/>
          <w:szCs w:val="24"/>
        </w:rPr>
        <w:t xml:space="preserve"> изложить в следующей редакции:</w:t>
      </w:r>
    </w:p>
    <w:p>
      <w:pPr>
        <w:spacing w:after="120"/>
        <w:ind w:firstLine="397"/>
        <w:jc w:val="both"/>
      </w:pPr>
      <w:r>
        <w:rPr>
          <w:rFonts w:ascii="Arial" w:cs="Arial" w:eastAsia="Arial" w:hAnsi="Arial"/>
          <w:sz w:val="24"/>
          <w:szCs w:val="24"/>
        </w:rPr>
        <w:t xml:space="preserve">«26. В графе 12 указывается общая сумма задолженности перед юридическими, физическими лицами и индивидуальными предпринимателями, которая определяется как сумма значений граф 2-11. В графах, входящих в строку «Размер депозита», делается группировка по совокупному объему задолженности перед каждым вкладчиком (клиентом) на отчетную дату:</w:t>
      </w:r>
    </w:p>
    <w:p>
      <w:pPr>
        <w:spacing w:after="120"/>
        <w:ind w:firstLine="397"/>
        <w:jc w:val="both"/>
      </w:pPr>
      <w:r>
        <w:rPr>
          <w:rFonts w:ascii="Arial" w:cs="Arial" w:eastAsia="Arial" w:hAnsi="Arial"/>
          <w:sz w:val="24"/>
          <w:szCs w:val="24"/>
        </w:rPr>
        <w:t xml:space="preserve">- до 1 000 сомов;</w:t>
      </w:r>
    </w:p>
    <w:p>
      <w:pPr>
        <w:spacing w:after="120"/>
        <w:ind w:firstLine="397"/>
        <w:jc w:val="both"/>
      </w:pPr>
      <w:r>
        <w:rPr>
          <w:rFonts w:ascii="Arial" w:cs="Arial" w:eastAsia="Arial" w:hAnsi="Arial"/>
          <w:sz w:val="24"/>
          <w:szCs w:val="24"/>
        </w:rPr>
        <w:t xml:space="preserve">- до 100 000 сомов;</w:t>
      </w:r>
    </w:p>
    <w:p>
      <w:pPr>
        <w:spacing w:after="120"/>
        <w:ind w:firstLine="397"/>
        <w:jc w:val="both"/>
      </w:pPr>
      <w:r>
        <w:rPr>
          <w:rFonts w:ascii="Arial" w:cs="Arial" w:eastAsia="Arial" w:hAnsi="Arial"/>
          <w:sz w:val="24"/>
          <w:szCs w:val="24"/>
        </w:rPr>
        <w:t xml:space="preserve">- до 200 000 сомов;</w:t>
      </w:r>
    </w:p>
    <w:p>
      <w:pPr>
        <w:spacing w:after="120"/>
        <w:ind w:firstLine="397"/>
        <w:jc w:val="both"/>
      </w:pPr>
      <w:r>
        <w:rPr>
          <w:rFonts w:ascii="Arial" w:cs="Arial" w:eastAsia="Arial" w:hAnsi="Arial"/>
          <w:sz w:val="24"/>
          <w:szCs w:val="24"/>
        </w:rPr>
        <w:t xml:space="preserve">- до 500 000 сомов;</w:t>
      </w:r>
    </w:p>
    <w:p>
      <w:pPr>
        <w:spacing w:after="120"/>
        <w:ind w:firstLine="397"/>
        <w:jc w:val="both"/>
      </w:pPr>
      <w:r>
        <w:rPr>
          <w:rFonts w:ascii="Arial" w:cs="Arial" w:eastAsia="Arial" w:hAnsi="Arial"/>
          <w:sz w:val="24"/>
          <w:szCs w:val="24"/>
        </w:rPr>
        <w:t xml:space="preserve">- до 1 000 000 сомов;</w:t>
      </w:r>
    </w:p>
    <w:p>
      <w:pPr>
        <w:spacing w:after="120"/>
        <w:ind w:firstLine="397"/>
        <w:jc w:val="both"/>
      </w:pPr>
      <w:r>
        <w:rPr>
          <w:rFonts w:ascii="Arial" w:cs="Arial" w:eastAsia="Arial" w:hAnsi="Arial"/>
          <w:sz w:val="24"/>
          <w:szCs w:val="24"/>
        </w:rPr>
        <w:t xml:space="preserve">- до 1 200 000 сомов;</w:t>
      </w:r>
    </w:p>
    <w:p>
      <w:pPr>
        <w:spacing w:after="120"/>
        <w:ind w:firstLine="397"/>
        <w:jc w:val="both"/>
      </w:pPr>
      <w:r>
        <w:rPr>
          <w:rFonts w:ascii="Arial" w:cs="Arial" w:eastAsia="Arial" w:hAnsi="Arial"/>
          <w:sz w:val="24"/>
          <w:szCs w:val="24"/>
        </w:rPr>
        <w:t xml:space="preserve">- до 1 500 000 сомов;</w:t>
      </w:r>
    </w:p>
    <w:p>
      <w:pPr>
        <w:spacing w:after="120"/>
        <w:ind w:firstLine="397"/>
        <w:jc w:val="both"/>
      </w:pPr>
      <w:r>
        <w:rPr>
          <w:rFonts w:ascii="Arial" w:cs="Arial" w:eastAsia="Arial" w:hAnsi="Arial"/>
          <w:sz w:val="24"/>
          <w:szCs w:val="24"/>
        </w:rPr>
        <w:t xml:space="preserve">- до 1 800 000 сомов;</w:t>
      </w:r>
    </w:p>
    <w:p>
      <w:pPr>
        <w:spacing w:after="120"/>
        <w:ind w:firstLine="397"/>
        <w:jc w:val="both"/>
      </w:pPr>
      <w:r>
        <w:rPr>
          <w:rFonts w:ascii="Arial" w:cs="Arial" w:eastAsia="Arial" w:hAnsi="Arial"/>
          <w:sz w:val="24"/>
          <w:szCs w:val="24"/>
        </w:rPr>
        <w:t xml:space="preserve">- до 2 000 000 сомов;</w:t>
      </w:r>
    </w:p>
    <w:p>
      <w:pPr>
        <w:spacing w:after="120"/>
        <w:ind w:firstLine="397"/>
        <w:jc w:val="both"/>
      </w:pPr>
      <w:r>
        <w:rPr>
          <w:rFonts w:ascii="Arial" w:cs="Arial" w:eastAsia="Arial" w:hAnsi="Arial"/>
          <w:sz w:val="24"/>
          <w:szCs w:val="24"/>
        </w:rPr>
        <w:t xml:space="preserve">- до 2 500 000 сомов.»;</w:t>
      </w:r>
    </w:p>
    <w:p>
      <w:pPr>
        <w:spacing w:after="120"/>
        <w:ind w:firstLine="397"/>
        <w:jc w:val="both"/>
      </w:pPr>
      <w:r>
        <w:rPr>
          <w:rFonts w:ascii="Arial" w:cs="Arial" w:eastAsia="Arial" w:hAnsi="Arial"/>
          <w:sz w:val="24"/>
          <w:szCs w:val="24"/>
        </w:rPr>
        <w:t xml:space="preserve">- </w:t>
      </w:r>
      <w:hyperlink w:history="1" r:id="rIddscwofqtqhqmejsvj2dr7">
        <w:r>
          <w:rPr>
            <w:rFonts w:ascii="Arial" w:cs="Arial" w:eastAsia="Arial" w:hAnsi="Arial"/>
            <w:color w:val="1D4ED8"/>
            <w:sz w:val="24"/>
            <w:szCs w:val="24"/>
            <w:u w:val="single"/>
          </w:rPr>
          <w:t xml:space="preserve">пункт 27</w:t>
        </w:r>
      </w:hyperlink>
      <w:r>
        <w:rPr>
          <w:rFonts w:ascii="Arial" w:cs="Arial" w:eastAsia="Arial" w:hAnsi="Arial"/>
          <w:sz w:val="24"/>
          <w:szCs w:val="24"/>
        </w:rPr>
        <w:t xml:space="preserve"> после слов «физических лиц,» дополнить словами «индивидуальных предпринимателей,»;</w:t>
      </w:r>
    </w:p>
    <w:p>
      <w:pPr>
        <w:spacing w:after="120"/>
        <w:ind w:firstLine="397"/>
        <w:jc w:val="both"/>
      </w:pPr>
      <w:r>
        <w:rPr>
          <w:rFonts w:ascii="Arial" w:cs="Arial" w:eastAsia="Arial" w:hAnsi="Arial"/>
          <w:sz w:val="24"/>
          <w:szCs w:val="24"/>
        </w:rPr>
        <w:t xml:space="preserve">- </w:t>
      </w:r>
      <w:hyperlink w:history="1" r:id="rIdk9jyzcp_qblp-yr7fcsj2">
        <w:r>
          <w:rPr>
            <w:rFonts w:ascii="Arial" w:cs="Arial" w:eastAsia="Arial" w:hAnsi="Arial"/>
            <w:color w:val="1D4ED8"/>
            <w:sz w:val="24"/>
            <w:szCs w:val="24"/>
            <w:u w:val="single"/>
          </w:rPr>
          <w:t xml:space="preserve">пункт 32</w:t>
        </w:r>
      </w:hyperlink>
      <w:r>
        <w:rPr>
          <w:rFonts w:ascii="Arial" w:cs="Arial" w:eastAsia="Arial" w:hAnsi="Arial"/>
          <w:sz w:val="24"/>
          <w:szCs w:val="24"/>
        </w:rPr>
        <w:t xml:space="preserve"> после слова «предпринимателей,» дополнить словами «счетов электронных денег, эмитируемых банком, держателями которых являются физические лица и индивидуальные предприниматели,»;</w:t>
      </w:r>
    </w:p>
    <w:p>
      <w:pPr>
        <w:spacing w:after="120"/>
        <w:ind w:firstLine="397"/>
        <w:jc w:val="both"/>
      </w:pPr>
      <w:r>
        <w:rPr>
          <w:rFonts w:ascii="Arial" w:cs="Arial" w:eastAsia="Arial" w:hAnsi="Arial"/>
          <w:sz w:val="24"/>
          <w:szCs w:val="24"/>
        </w:rPr>
        <w:t xml:space="preserve">- </w:t>
      </w:r>
      <w:hyperlink w:history="1" r:id="rIdoclmvtsoy2sngzugxoi1r">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к вышеуказанной </w:t>
      </w:r>
      <w:hyperlink w:history="1" r:id="rIdmbkhg8h6q1-o9qun6xpyq">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изложить в редакции согласно </w:t>
      </w:r>
      <w:hyperlink w:history="1" r:id="rId5r4qjk_cm1tt-fs1lz8yi">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 к настоящему </w:t>
      </w:r>
      <w:hyperlink w:history="1" r:id="rId9dlijzfrb2jyyjdlpx9gc">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в </w:t>
      </w:r>
      <w:hyperlink w:history="1" r:id="rIdciznikhz1ej4qkgwhhrrd">
        <w:r>
          <w:rPr>
            <w:rFonts w:ascii="Arial" w:cs="Arial" w:eastAsia="Arial" w:hAnsi="Arial"/>
            <w:color w:val="1D4ED8"/>
            <w:sz w:val="24"/>
            <w:szCs w:val="24"/>
            <w:u w:val="single"/>
          </w:rPr>
          <w:t xml:space="preserve">приложении 4</w:t>
        </w:r>
      </w:hyperlink>
      <w:r>
        <w:rPr>
          <w:rFonts w:ascii="Arial" w:cs="Arial" w:eastAsia="Arial" w:hAnsi="Arial"/>
          <w:sz w:val="24"/>
          <w:szCs w:val="24"/>
        </w:rPr>
        <w:t xml:space="preserve"> к вышеуказанной </w:t>
      </w:r>
      <w:hyperlink w:history="1" r:id="rIdgq9lzpmxpw2uc0nveskw6">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строку первую таблицы «Сведения о депозитах юридических, физических лиц и индивидуальных предпринимателей с разбивкой по суммам (нарастающим итогом)» изложить в следующей редакции: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69"/>
        <w:gridCol w:w="709"/>
        <w:gridCol w:w="709"/>
        <w:gridCol w:w="709"/>
        <w:gridCol w:w="709"/>
        <w:gridCol w:w="709"/>
        <w:gridCol w:w="709"/>
        <w:gridCol w:w="709"/>
        <w:gridCol w:w="709"/>
        <w:gridCol w:w="709"/>
        <w:gridCol w:w="709"/>
        <w:gridCol w:w="709"/>
        <w:gridCol w:w="709"/>
      </w:tblGrid>
      <w:tr>
        <w:tc>
          <w:tcPr>
            <w:tcW w:type="dxa" w:w="1669"/>
            <w:tcBorders>
              <w:top w:val="none" w:color="auto" w:sz="0"/>
              <w:left w:val="none" w:color="auto" w:sz="0"/>
              <w:bottom w:val="single" w:color="CBBF9E" w:sz="4"/>
              <w:right w:val="none" w:color="auto" w:sz="0"/>
            </w:tcBorders>
            <w:vAlign w:val="top"/>
          </w:tcPr>
          <w:p>
            <w:pPr>
              <w:jc w:val="center"/>
            </w:pPr>
            <w:r>
              <w:rPr>
                <w:rFonts w:ascii="Arial" w:cs="Arial" w:eastAsia="Arial" w:hAnsi="Arial"/>
                <w:b/>
                <w:bCs/>
                <w:sz w:val="24"/>
                <w:szCs w:val="24"/>
              </w:rPr>
              <w:t xml:space="preserve">«</w:t>
            </w:r>
          </w:p>
        </w:tc>
        <w:tc>
          <w:tcPr>
            <w:tcW w:type="dxa" w:w="8508"/>
            <w:gridSpan w:val="12"/>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r>
      <w:tr>
        <w:tc>
          <w:tcPr>
            <w:tcW w:type="dxa" w:w="16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Размер</w:t>
            </w:r>
          </w:p>
          <w:p>
            <w:pPr>
              <w:jc w:val="center"/>
            </w:pPr>
            <w:r>
              <w:rPr>
                <w:rFonts w:ascii="Arial" w:cs="Arial" w:eastAsia="Arial" w:hAnsi="Arial"/>
                <w:sz w:val="24"/>
                <w:szCs w:val="24"/>
              </w:rPr>
              <w:t xml:space="preserve">депозита</w:t>
            </w:r>
          </w:p>
        </w:tc>
        <w:tc>
          <w:tcPr>
            <w:tcW w:type="dxa" w:w="70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1 000</w:t>
            </w:r>
          </w:p>
        </w:tc>
        <w:tc>
          <w:tcPr>
            <w:tcW w:type="dxa" w:w="70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100 000</w:t>
            </w:r>
          </w:p>
        </w:tc>
        <w:tc>
          <w:tcPr>
            <w:tcW w:type="dxa" w:w="70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200 000</w:t>
            </w:r>
          </w:p>
        </w:tc>
        <w:tc>
          <w:tcPr>
            <w:tcW w:type="dxa" w:w="70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500 000</w:t>
            </w:r>
          </w:p>
        </w:tc>
        <w:tc>
          <w:tcPr>
            <w:tcW w:type="dxa" w:w="70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r>
              <w:rPr>
                <w:rFonts w:ascii="Arial" w:cs="Arial" w:eastAsia="Arial" w:hAnsi="Arial"/>
                <w:sz w:val="24"/>
                <w:szCs w:val="24"/>
              </w:rPr>
              <w:t xml:space="preserve">000 000</w:t>
            </w:r>
          </w:p>
        </w:tc>
        <w:tc>
          <w:tcPr>
            <w:tcW w:type="dxa" w:w="70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r>
              <w:rPr>
                <w:rFonts w:ascii="Arial" w:cs="Arial" w:eastAsia="Arial" w:hAnsi="Arial"/>
                <w:sz w:val="24"/>
                <w:szCs w:val="24"/>
              </w:rPr>
              <w:t xml:space="preserve">200 000</w:t>
            </w:r>
          </w:p>
        </w:tc>
        <w:tc>
          <w:tcPr>
            <w:tcW w:type="dxa" w:w="70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r>
              <w:rPr>
                <w:rFonts w:ascii="Arial" w:cs="Arial" w:eastAsia="Arial" w:hAnsi="Arial"/>
                <w:sz w:val="24"/>
                <w:szCs w:val="24"/>
              </w:rPr>
              <w:t xml:space="preserve">500 000</w:t>
            </w:r>
          </w:p>
        </w:tc>
        <w:tc>
          <w:tcPr>
            <w:tcW w:type="dxa" w:w="70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r>
              <w:rPr>
                <w:rFonts w:ascii="Arial" w:cs="Arial" w:eastAsia="Arial" w:hAnsi="Arial"/>
                <w:sz w:val="24"/>
                <w:szCs w:val="24"/>
              </w:rPr>
              <w:t xml:space="preserve">800 000</w:t>
            </w:r>
          </w:p>
        </w:tc>
        <w:tc>
          <w:tcPr>
            <w:tcW w:type="dxa" w:w="70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r>
              <w:rPr>
                <w:rFonts w:ascii="Arial" w:cs="Arial" w:eastAsia="Arial" w:hAnsi="Arial"/>
                <w:sz w:val="24"/>
                <w:szCs w:val="24"/>
              </w:rPr>
              <w:t xml:space="preserve">000 000</w:t>
            </w:r>
          </w:p>
        </w:tc>
        <w:tc>
          <w:tcPr>
            <w:tcW w:type="dxa" w:w="70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r>
              <w:rPr>
                <w:rFonts w:ascii="Arial" w:cs="Arial" w:eastAsia="Arial" w:hAnsi="Arial"/>
                <w:sz w:val="24"/>
                <w:szCs w:val="24"/>
              </w:rPr>
              <w:t xml:space="preserve">500 000</w:t>
            </w:r>
          </w:p>
        </w:tc>
        <w:tc>
          <w:tcPr>
            <w:tcW w:type="dxa" w:w="7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Всего</w:t>
            </w:r>
          </w:p>
          <w:p>
            <w:pPr>
              <w:jc w:val="center"/>
            </w:pPr>
            <w:r>
              <w:rPr>
                <w:rFonts w:ascii="Arial" w:cs="Arial" w:eastAsia="Arial" w:hAnsi="Arial"/>
                <w:sz w:val="24"/>
                <w:szCs w:val="24"/>
              </w:rPr>
              <w:t xml:space="preserve">депозиты</w:t>
            </w:r>
          </w:p>
        </w:tc>
        <w:tc>
          <w:tcPr>
            <w:tcW w:type="dxa" w:w="7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Начисленные</w:t>
            </w:r>
          </w:p>
          <w:p>
            <w:pPr>
              <w:jc w:val="center"/>
            </w:pPr>
            <w:r>
              <w:rPr>
                <w:rFonts w:ascii="Arial" w:cs="Arial" w:eastAsia="Arial" w:hAnsi="Arial"/>
                <w:sz w:val="24"/>
                <w:szCs w:val="24"/>
              </w:rPr>
              <w:t xml:space="preserve">проценты по</w:t>
            </w:r>
          </w:p>
          <w:p>
            <w:pPr>
              <w:jc w:val="center"/>
            </w:pPr>
            <w:r>
              <w:rPr>
                <w:rFonts w:ascii="Arial" w:cs="Arial" w:eastAsia="Arial" w:hAnsi="Arial"/>
                <w:sz w:val="24"/>
                <w:szCs w:val="24"/>
              </w:rPr>
              <w:t xml:space="preserve">депозитам</w:t>
            </w:r>
          </w:p>
        </w:tc>
      </w:tr>
      <w:tr>
        <w:tc>
          <w:tcPr>
            <w:tcW w:type="dxa" w:w="9468"/>
            <w:gridSpan w:val="1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709"/>
            <w:tcBorders>
              <w:top w:val="none" w:color="auto" w:sz="0"/>
              <w:left w:val="none" w:color="auto" w:sz="0"/>
              <w:bottom w:val="none" w:color="auto" w:sz="0"/>
              <w:right w:val="none" w:color="auto" w:sz="0"/>
            </w:tcBorders>
            <w:vAlign w:val="top"/>
          </w:tcPr>
          <w:p>
            <w:pPr>
              <w:jc w:val="right"/>
            </w:pPr>
            <w:r>
              <w:rPr>
                <w:rFonts w:ascii="Arial" w:cs="Arial" w:eastAsia="Arial" w:hAnsi="Arial"/>
                <w:b/>
                <w:bCs/>
                <w:sz w:val="24"/>
                <w:szCs w:val="24"/>
              </w:rPr>
              <w:t xml:space="preserve">».</w:t>
            </w:r>
          </w:p>
        </w:tc>
      </w:tr>
    </w:tbl>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 Настоящее постановление вступает в силу по истечении десяти дней со дня официального опубликования.</w:t>
      </w:r>
    </w:p>
    <w:p>
      <w:pPr>
        <w:spacing w:after="120"/>
        <w:ind w:firstLine="397"/>
        <w:jc w:val="both"/>
      </w:pPr>
      <w:r>
        <w:rPr>
          <w:rFonts w:ascii="Arial" w:cs="Arial" w:eastAsia="Arial" w:hAnsi="Arial"/>
          <w:i/>
          <w:iCs/>
          <w:sz w:val="24"/>
          <w:szCs w:val="24"/>
        </w:rPr>
        <w:t xml:space="preserve">Опубликовано в официальной государственной газете «Эркин-Тоо» от 14 июня 2024 года № 45 (3598)</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sz w:val="24"/>
          <w:szCs w:val="24"/>
        </w:rPr>
        <w:t xml:space="preserve">А.У. Жапаров</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w:t>
      </w:r>
      <w:hyperlink w:history="1" r:id="rIdkkgetd4gosjyklgtzwjjk">
        <w:r>
          <w:rPr>
            <w:rFonts w:ascii="Arial" w:cs="Arial" w:eastAsia="Arial" w:hAnsi="Arial"/>
            <w:color w:val="1D4ED8"/>
            <w:sz w:val="24"/>
            <w:szCs w:val="24"/>
            <w:u w:val="single"/>
          </w:rPr>
          <w:t xml:space="preserve">Приложение 1</w:t>
        </w:r>
      </w:hyperlink>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Состав</w:t>
      </w:r>
    </w:p>
    <w:p>
      <w:pPr>
        <w:spacing w:after="240" w:before="200"/>
        <w:jc w:val="center"/>
      </w:pPr>
      <w:r>
        <w:rPr>
          <w:rFonts w:ascii="Arial" w:cs="Arial" w:eastAsia="Arial" w:hAnsi="Arial"/>
          <w:b/>
          <w:bCs/>
          <w:sz w:val="32"/>
          <w:szCs w:val="32"/>
        </w:rPr>
        <w:t xml:space="preserve">отчетности банка-участника, микрофинансовой </w:t>
      </w:r>
    </w:p>
    <w:p>
      <w:pPr>
        <w:spacing w:after="240" w:before="200"/>
        <w:jc w:val="center"/>
      </w:pPr>
      <w:r>
        <w:rPr>
          <w:rFonts w:ascii="Arial" w:cs="Arial" w:eastAsia="Arial" w:hAnsi="Arial"/>
          <w:b/>
          <w:bCs/>
          <w:sz w:val="32"/>
          <w:szCs w:val="32"/>
        </w:rPr>
        <w:t xml:space="preserve">компании-участника, жилищно-сберегательной </w:t>
      </w:r>
    </w:p>
    <w:p>
      <w:pPr>
        <w:spacing w:after="240" w:before="200"/>
        <w:jc w:val="center"/>
      </w:pPr>
      <w:r>
        <w:rPr>
          <w:rFonts w:ascii="Arial" w:cs="Arial" w:eastAsia="Arial" w:hAnsi="Arial"/>
          <w:b/>
          <w:bCs/>
          <w:sz w:val="32"/>
          <w:szCs w:val="32"/>
        </w:rPr>
        <w:t xml:space="preserve">кредитной компании-участника системы защиты </w:t>
      </w:r>
    </w:p>
    <w:p>
      <w:pPr>
        <w:spacing w:after="240" w:before="200"/>
        <w:jc w:val="center"/>
      </w:pPr>
      <w:r>
        <w:rPr>
          <w:rFonts w:ascii="Arial" w:cs="Arial" w:eastAsia="Arial" w:hAnsi="Arial"/>
          <w:b/>
          <w:bCs/>
          <w:sz w:val="32"/>
          <w:szCs w:val="32"/>
        </w:rPr>
        <w:t xml:space="preserve">депозитов, представляемой Агентству по защите </w:t>
      </w:r>
    </w:p>
    <w:p>
      <w:pPr>
        <w:spacing w:after="240" w:before="200"/>
        <w:jc w:val="center"/>
      </w:pPr>
      <w:r>
        <w:rPr>
          <w:rFonts w:ascii="Arial" w:cs="Arial" w:eastAsia="Arial" w:hAnsi="Arial"/>
          <w:b/>
          <w:bCs/>
          <w:sz w:val="32"/>
          <w:szCs w:val="32"/>
        </w:rPr>
        <w:t xml:space="preserve">депозитов Кыргызской Республики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66"/>
        <w:gridCol w:w="1488"/>
        <w:gridCol w:w="3432"/>
        <w:gridCol w:w="2630"/>
        <w:gridCol w:w="2062"/>
      </w:tblGrid>
      <w:tr>
        <w:tc>
          <w:tcPr>
            <w:tcW w:type="dxa" w:w="56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48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Приложение</w:t>
            </w:r>
          </w:p>
        </w:tc>
        <w:tc>
          <w:tcPr>
            <w:tcW w:type="dxa" w:w="343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Название</w:t>
            </w:r>
          </w:p>
        </w:tc>
        <w:tc>
          <w:tcPr>
            <w:tcW w:type="dxa" w:w="263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Периодичность</w:t>
            </w:r>
          </w:p>
        </w:tc>
        <w:tc>
          <w:tcPr>
            <w:tcW w:type="dxa" w:w="206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Сроки</w:t>
            </w:r>
          </w:p>
        </w:tc>
      </w:tr>
      <w:tr>
        <w:tc>
          <w:tcPr>
            <w:tcW w:type="dxa" w:w="56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4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Базовая информация о </w:t>
            </w:r>
          </w:p>
          <w:p>
            <w:pPr>
              <w:jc w:val="left"/>
            </w:pPr>
            <w:r>
              <w:rPr>
                <w:rFonts w:ascii="Arial" w:cs="Arial" w:eastAsia="Arial" w:hAnsi="Arial"/>
                <w:sz w:val="24"/>
                <w:szCs w:val="24"/>
              </w:rPr>
              <w:t xml:space="preserve">банке-участнике, </w:t>
            </w:r>
          </w:p>
          <w:p>
            <w:pPr>
              <w:jc w:val="left"/>
            </w:pPr>
            <w:r>
              <w:rPr>
                <w:rFonts w:ascii="Arial" w:cs="Arial" w:eastAsia="Arial" w:hAnsi="Arial"/>
                <w:sz w:val="24"/>
                <w:szCs w:val="24"/>
              </w:rPr>
              <w:t xml:space="preserve">микрофинансовой </w:t>
            </w:r>
          </w:p>
          <w:p>
            <w:pPr>
              <w:jc w:val="left"/>
            </w:pPr>
            <w:r>
              <w:rPr>
                <w:rFonts w:ascii="Arial" w:cs="Arial" w:eastAsia="Arial" w:hAnsi="Arial"/>
                <w:sz w:val="24"/>
                <w:szCs w:val="24"/>
              </w:rPr>
              <w:t xml:space="preserve">компании-участнике, </w:t>
            </w:r>
          </w:p>
          <w:p>
            <w:pPr>
              <w:jc w:val="left"/>
            </w:pPr>
            <w:r>
              <w:rPr>
                <w:rFonts w:ascii="Arial" w:cs="Arial" w:eastAsia="Arial" w:hAnsi="Arial"/>
                <w:sz w:val="24"/>
                <w:szCs w:val="24"/>
              </w:rPr>
              <w:t xml:space="preserve">жилищно-сберегательной </w:t>
            </w:r>
          </w:p>
          <w:p>
            <w:pPr>
              <w:jc w:val="left"/>
            </w:pPr>
            <w:r>
              <w:rPr>
                <w:rFonts w:ascii="Arial" w:cs="Arial" w:eastAsia="Arial" w:hAnsi="Arial"/>
                <w:sz w:val="24"/>
                <w:szCs w:val="24"/>
              </w:rPr>
              <w:t xml:space="preserve">кредитной компании-</w:t>
            </w:r>
          </w:p>
          <w:p>
            <w:pPr>
              <w:jc w:val="left"/>
            </w:pPr>
            <w:r>
              <w:rPr>
                <w:rFonts w:ascii="Arial" w:cs="Arial" w:eastAsia="Arial" w:hAnsi="Arial"/>
                <w:sz w:val="24"/>
                <w:szCs w:val="24"/>
              </w:rPr>
              <w:t xml:space="preserve">участнике системы защиты </w:t>
            </w:r>
          </w:p>
          <w:p>
            <w:pPr>
              <w:jc w:val="left"/>
            </w:pPr>
            <w:r>
              <w:rPr>
                <w:rFonts w:ascii="Arial" w:cs="Arial" w:eastAsia="Arial" w:hAnsi="Arial"/>
                <w:sz w:val="24"/>
                <w:szCs w:val="24"/>
              </w:rPr>
              <w:t xml:space="preserve">депозитов</w:t>
            </w:r>
          </w:p>
        </w:tc>
        <w:tc>
          <w:tcPr>
            <w:tcW w:type="dxa" w:w="2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Ежеквартально</w:t>
            </w:r>
          </w:p>
        </w:tc>
        <w:tc>
          <w:tcPr>
            <w:tcW w:type="dxa" w:w="2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15 числа </w:t>
            </w:r>
          </w:p>
          <w:p>
            <w:pPr>
              <w:jc w:val="left"/>
            </w:pPr>
            <w:r>
              <w:rPr>
                <w:rFonts w:ascii="Arial" w:cs="Arial" w:eastAsia="Arial" w:hAnsi="Arial"/>
                <w:sz w:val="24"/>
                <w:szCs w:val="24"/>
              </w:rPr>
              <w:t xml:space="preserve">квартала, </w:t>
            </w:r>
          </w:p>
          <w:p>
            <w:pPr>
              <w:jc w:val="left"/>
            </w:pPr>
            <w:r>
              <w:rPr>
                <w:rFonts w:ascii="Arial" w:cs="Arial" w:eastAsia="Arial" w:hAnsi="Arial"/>
                <w:sz w:val="24"/>
                <w:szCs w:val="24"/>
              </w:rPr>
              <w:t xml:space="preserve">следующего </w:t>
            </w:r>
          </w:p>
          <w:p>
            <w:pPr>
              <w:jc w:val="left"/>
            </w:pPr>
            <w:r>
              <w:rPr>
                <w:rFonts w:ascii="Arial" w:cs="Arial" w:eastAsia="Arial" w:hAnsi="Arial"/>
                <w:sz w:val="24"/>
                <w:szCs w:val="24"/>
              </w:rPr>
              <w:t xml:space="preserve">за отчетным </w:t>
            </w:r>
          </w:p>
          <w:p>
            <w:pPr>
              <w:jc w:val="left"/>
            </w:pPr>
            <w:r>
              <w:rPr>
                <w:rFonts w:ascii="Arial" w:cs="Arial" w:eastAsia="Arial" w:hAnsi="Arial"/>
                <w:sz w:val="24"/>
                <w:szCs w:val="24"/>
              </w:rPr>
              <w:t xml:space="preserve">периодом</w:t>
            </w:r>
          </w:p>
        </w:tc>
      </w:tr>
      <w:tr>
        <w:tc>
          <w:tcPr>
            <w:tcW w:type="dxa" w:w="56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14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Данные об ежедневных </w:t>
            </w:r>
          </w:p>
          <w:p>
            <w:pPr>
              <w:jc w:val="left"/>
            </w:pPr>
            <w:r>
              <w:rPr>
                <w:rFonts w:ascii="Arial" w:cs="Arial" w:eastAsia="Arial" w:hAnsi="Arial"/>
                <w:sz w:val="24"/>
                <w:szCs w:val="24"/>
              </w:rPr>
              <w:t xml:space="preserve">остатках депозитной базы</w:t>
            </w:r>
          </w:p>
        </w:tc>
        <w:tc>
          <w:tcPr>
            <w:tcW w:type="dxa" w:w="2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Ежеквартально</w:t>
            </w:r>
          </w:p>
        </w:tc>
        <w:tc>
          <w:tcPr>
            <w:tcW w:type="dxa" w:w="2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15 числа </w:t>
            </w:r>
          </w:p>
          <w:p>
            <w:pPr>
              <w:jc w:val="left"/>
            </w:pPr>
            <w:r>
              <w:rPr>
                <w:rFonts w:ascii="Arial" w:cs="Arial" w:eastAsia="Arial" w:hAnsi="Arial"/>
                <w:sz w:val="24"/>
                <w:szCs w:val="24"/>
              </w:rPr>
              <w:t xml:space="preserve">квартала, </w:t>
            </w:r>
          </w:p>
          <w:p>
            <w:pPr>
              <w:jc w:val="left"/>
            </w:pPr>
            <w:r>
              <w:rPr>
                <w:rFonts w:ascii="Arial" w:cs="Arial" w:eastAsia="Arial" w:hAnsi="Arial"/>
                <w:sz w:val="24"/>
                <w:szCs w:val="24"/>
              </w:rPr>
              <w:t xml:space="preserve">следующего </w:t>
            </w:r>
          </w:p>
          <w:p>
            <w:pPr>
              <w:jc w:val="left"/>
            </w:pPr>
            <w:r>
              <w:rPr>
                <w:rFonts w:ascii="Arial" w:cs="Arial" w:eastAsia="Arial" w:hAnsi="Arial"/>
                <w:sz w:val="24"/>
                <w:szCs w:val="24"/>
              </w:rPr>
              <w:t xml:space="preserve">за отчетным </w:t>
            </w:r>
          </w:p>
          <w:p>
            <w:pPr>
              <w:jc w:val="left"/>
            </w:pPr>
            <w:r>
              <w:rPr>
                <w:rFonts w:ascii="Arial" w:cs="Arial" w:eastAsia="Arial" w:hAnsi="Arial"/>
                <w:sz w:val="24"/>
                <w:szCs w:val="24"/>
              </w:rPr>
              <w:t xml:space="preserve">периодом</w:t>
            </w:r>
          </w:p>
        </w:tc>
      </w:tr>
      <w:tr>
        <w:tc>
          <w:tcPr>
            <w:tcW w:type="dxa" w:w="56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14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Данные о депозитной базе с </w:t>
            </w:r>
          </w:p>
          <w:p>
            <w:pPr>
              <w:jc w:val="left"/>
            </w:pPr>
            <w:r>
              <w:rPr>
                <w:rFonts w:ascii="Arial" w:cs="Arial" w:eastAsia="Arial" w:hAnsi="Arial"/>
                <w:sz w:val="24"/>
                <w:szCs w:val="24"/>
              </w:rPr>
              <w:t xml:space="preserve">разбивкой по суммам </w:t>
            </w:r>
          </w:p>
          <w:p>
            <w:pPr>
              <w:jc w:val="left"/>
            </w:pPr>
            <w:r>
              <w:rPr>
                <w:rFonts w:ascii="Arial" w:cs="Arial" w:eastAsia="Arial" w:hAnsi="Arial"/>
                <w:sz w:val="24"/>
                <w:szCs w:val="24"/>
              </w:rPr>
              <w:t xml:space="preserve">(нарастающим итогом)</w:t>
            </w:r>
          </w:p>
        </w:tc>
        <w:tc>
          <w:tcPr>
            <w:tcW w:type="dxa" w:w="2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Ежеквартально</w:t>
            </w:r>
          </w:p>
        </w:tc>
        <w:tc>
          <w:tcPr>
            <w:tcW w:type="dxa" w:w="2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15 числа </w:t>
            </w:r>
          </w:p>
          <w:p>
            <w:pPr>
              <w:jc w:val="left"/>
            </w:pPr>
            <w:r>
              <w:rPr>
                <w:rFonts w:ascii="Arial" w:cs="Arial" w:eastAsia="Arial" w:hAnsi="Arial"/>
                <w:sz w:val="24"/>
                <w:szCs w:val="24"/>
              </w:rPr>
              <w:t xml:space="preserve">квартала, </w:t>
            </w:r>
          </w:p>
          <w:p>
            <w:pPr>
              <w:jc w:val="left"/>
            </w:pPr>
            <w:r>
              <w:rPr>
                <w:rFonts w:ascii="Arial" w:cs="Arial" w:eastAsia="Arial" w:hAnsi="Arial"/>
                <w:sz w:val="24"/>
                <w:szCs w:val="24"/>
              </w:rPr>
              <w:t xml:space="preserve">следующего </w:t>
            </w:r>
          </w:p>
          <w:p>
            <w:pPr>
              <w:jc w:val="left"/>
            </w:pPr>
            <w:r>
              <w:rPr>
                <w:rFonts w:ascii="Arial" w:cs="Arial" w:eastAsia="Arial" w:hAnsi="Arial"/>
                <w:sz w:val="24"/>
                <w:szCs w:val="24"/>
              </w:rPr>
              <w:t xml:space="preserve">за отчетным </w:t>
            </w:r>
          </w:p>
          <w:p>
            <w:pPr>
              <w:jc w:val="left"/>
            </w:pPr>
            <w:r>
              <w:rPr>
                <w:rFonts w:ascii="Arial" w:cs="Arial" w:eastAsia="Arial" w:hAnsi="Arial"/>
                <w:sz w:val="24"/>
                <w:szCs w:val="24"/>
              </w:rPr>
              <w:t xml:space="preserve">периодом</w:t>
            </w:r>
          </w:p>
        </w:tc>
      </w:tr>
      <w:tr>
        <w:tc>
          <w:tcPr>
            <w:tcW w:type="dxa" w:w="56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14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Объем депозитов по </w:t>
            </w:r>
          </w:p>
          <w:p>
            <w:pPr>
              <w:jc w:val="left"/>
            </w:pPr>
            <w:r>
              <w:rPr>
                <w:rFonts w:ascii="Arial" w:cs="Arial" w:eastAsia="Arial" w:hAnsi="Arial"/>
                <w:sz w:val="24"/>
                <w:szCs w:val="24"/>
              </w:rPr>
              <w:t xml:space="preserve">источникам привлечения </w:t>
            </w:r>
          </w:p>
          <w:p>
            <w:pPr>
              <w:jc w:val="left"/>
            </w:pPr>
            <w:r>
              <w:rPr>
                <w:rFonts w:ascii="Arial" w:cs="Arial" w:eastAsia="Arial" w:hAnsi="Arial"/>
                <w:sz w:val="24"/>
                <w:szCs w:val="24"/>
              </w:rPr>
              <w:t xml:space="preserve">в разрезе областей </w:t>
            </w:r>
          </w:p>
          <w:p>
            <w:pPr>
              <w:jc w:val="left"/>
            </w:pPr>
            <w:r>
              <w:rPr>
                <w:rFonts w:ascii="Arial" w:cs="Arial" w:eastAsia="Arial" w:hAnsi="Arial"/>
                <w:sz w:val="24"/>
                <w:szCs w:val="24"/>
              </w:rPr>
              <w:t xml:space="preserve">Кыргызской Республики</w:t>
            </w:r>
          </w:p>
        </w:tc>
        <w:tc>
          <w:tcPr>
            <w:tcW w:type="dxa" w:w="2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Ежеквартально</w:t>
            </w:r>
          </w:p>
        </w:tc>
        <w:tc>
          <w:tcPr>
            <w:tcW w:type="dxa" w:w="2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15 числа </w:t>
            </w:r>
          </w:p>
          <w:p>
            <w:pPr>
              <w:jc w:val="left"/>
            </w:pPr>
            <w:r>
              <w:rPr>
                <w:rFonts w:ascii="Arial" w:cs="Arial" w:eastAsia="Arial" w:hAnsi="Arial"/>
                <w:sz w:val="24"/>
                <w:szCs w:val="24"/>
              </w:rPr>
              <w:t xml:space="preserve">квартала, </w:t>
            </w:r>
          </w:p>
          <w:p>
            <w:pPr>
              <w:jc w:val="left"/>
            </w:pPr>
            <w:r>
              <w:rPr>
                <w:rFonts w:ascii="Arial" w:cs="Arial" w:eastAsia="Arial" w:hAnsi="Arial"/>
                <w:sz w:val="24"/>
                <w:szCs w:val="24"/>
              </w:rPr>
              <w:t xml:space="preserve">следующего </w:t>
            </w:r>
          </w:p>
          <w:p>
            <w:pPr>
              <w:jc w:val="left"/>
            </w:pPr>
            <w:r>
              <w:rPr>
                <w:rFonts w:ascii="Arial" w:cs="Arial" w:eastAsia="Arial" w:hAnsi="Arial"/>
                <w:sz w:val="24"/>
                <w:szCs w:val="24"/>
              </w:rPr>
              <w:t xml:space="preserve">за отчетным </w:t>
            </w:r>
          </w:p>
          <w:p>
            <w:pPr>
              <w:jc w:val="left"/>
            </w:pPr>
            <w:r>
              <w:rPr>
                <w:rFonts w:ascii="Arial" w:cs="Arial" w:eastAsia="Arial" w:hAnsi="Arial"/>
                <w:sz w:val="24"/>
                <w:szCs w:val="24"/>
              </w:rPr>
              <w:t xml:space="preserve">периодом</w:t>
            </w:r>
          </w:p>
        </w:tc>
      </w:tr>
      <w:tr>
        <w:tc>
          <w:tcPr>
            <w:tcW w:type="dxa" w:w="56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14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депозитных </w:t>
            </w:r>
          </w:p>
          <w:p>
            <w:pPr>
              <w:jc w:val="left"/>
            </w:pPr>
            <w:r>
              <w:rPr>
                <w:rFonts w:ascii="Arial" w:cs="Arial" w:eastAsia="Arial" w:hAnsi="Arial"/>
                <w:sz w:val="24"/>
                <w:szCs w:val="24"/>
              </w:rPr>
              <w:t xml:space="preserve">счетах в разрезе областей </w:t>
            </w:r>
          </w:p>
          <w:p>
            <w:pPr>
              <w:jc w:val="left"/>
            </w:pPr>
            <w:r>
              <w:rPr>
                <w:rFonts w:ascii="Arial" w:cs="Arial" w:eastAsia="Arial" w:hAnsi="Arial"/>
                <w:sz w:val="24"/>
                <w:szCs w:val="24"/>
              </w:rPr>
              <w:t xml:space="preserve">Кыргызской Республики</w:t>
            </w:r>
          </w:p>
        </w:tc>
        <w:tc>
          <w:tcPr>
            <w:tcW w:type="dxa" w:w="2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Ежеквартально</w:t>
            </w:r>
          </w:p>
        </w:tc>
        <w:tc>
          <w:tcPr>
            <w:tcW w:type="dxa" w:w="2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15 числа </w:t>
            </w:r>
          </w:p>
          <w:p>
            <w:pPr>
              <w:jc w:val="left"/>
            </w:pPr>
            <w:r>
              <w:rPr>
                <w:rFonts w:ascii="Arial" w:cs="Arial" w:eastAsia="Arial" w:hAnsi="Arial"/>
                <w:sz w:val="24"/>
                <w:szCs w:val="24"/>
              </w:rPr>
              <w:t xml:space="preserve">квартала, </w:t>
            </w:r>
          </w:p>
          <w:p>
            <w:pPr>
              <w:jc w:val="left"/>
            </w:pPr>
            <w:r>
              <w:rPr>
                <w:rFonts w:ascii="Arial" w:cs="Arial" w:eastAsia="Arial" w:hAnsi="Arial"/>
                <w:sz w:val="24"/>
                <w:szCs w:val="24"/>
              </w:rPr>
              <w:t xml:space="preserve">следующего </w:t>
            </w:r>
          </w:p>
          <w:p>
            <w:pPr>
              <w:jc w:val="left"/>
            </w:pPr>
            <w:r>
              <w:rPr>
                <w:rFonts w:ascii="Arial" w:cs="Arial" w:eastAsia="Arial" w:hAnsi="Arial"/>
                <w:sz w:val="24"/>
                <w:szCs w:val="24"/>
              </w:rPr>
              <w:t xml:space="preserve">за отчетным </w:t>
            </w:r>
          </w:p>
          <w:p>
            <w:pPr>
              <w:jc w:val="left"/>
            </w:pPr>
            <w:r>
              <w:rPr>
                <w:rFonts w:ascii="Arial" w:cs="Arial" w:eastAsia="Arial" w:hAnsi="Arial"/>
                <w:sz w:val="24"/>
                <w:szCs w:val="24"/>
              </w:rPr>
              <w:t xml:space="preserve">периодом</w:t>
            </w:r>
          </w:p>
        </w:tc>
      </w:tr>
      <w:tr>
        <w:tc>
          <w:tcPr>
            <w:tcW w:type="dxa" w:w="56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14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депозитах и </w:t>
            </w:r>
          </w:p>
          <w:p>
            <w:pPr>
              <w:jc w:val="left"/>
            </w:pPr>
            <w:r>
              <w:rPr>
                <w:rFonts w:ascii="Arial" w:cs="Arial" w:eastAsia="Arial" w:hAnsi="Arial"/>
                <w:sz w:val="24"/>
                <w:szCs w:val="24"/>
              </w:rPr>
              <w:t xml:space="preserve">применяемых процентных </w:t>
            </w:r>
          </w:p>
          <w:p>
            <w:pPr>
              <w:jc w:val="left"/>
            </w:pPr>
            <w:r>
              <w:rPr>
                <w:rFonts w:ascii="Arial" w:cs="Arial" w:eastAsia="Arial" w:hAnsi="Arial"/>
                <w:sz w:val="24"/>
                <w:szCs w:val="24"/>
              </w:rPr>
              <w:t xml:space="preserve">ставках. Объем депозитов</w:t>
            </w:r>
          </w:p>
        </w:tc>
        <w:tc>
          <w:tcPr>
            <w:tcW w:type="dxa" w:w="2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Ежеквартально</w:t>
            </w:r>
          </w:p>
        </w:tc>
        <w:tc>
          <w:tcPr>
            <w:tcW w:type="dxa" w:w="2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15 числа </w:t>
            </w:r>
          </w:p>
          <w:p>
            <w:pPr>
              <w:jc w:val="left"/>
            </w:pPr>
            <w:r>
              <w:rPr>
                <w:rFonts w:ascii="Arial" w:cs="Arial" w:eastAsia="Arial" w:hAnsi="Arial"/>
                <w:sz w:val="24"/>
                <w:szCs w:val="24"/>
              </w:rPr>
              <w:t xml:space="preserve">квартала, </w:t>
            </w:r>
          </w:p>
          <w:p>
            <w:pPr>
              <w:jc w:val="left"/>
            </w:pPr>
            <w:r>
              <w:rPr>
                <w:rFonts w:ascii="Arial" w:cs="Arial" w:eastAsia="Arial" w:hAnsi="Arial"/>
                <w:sz w:val="24"/>
                <w:szCs w:val="24"/>
              </w:rPr>
              <w:t xml:space="preserve">следующего </w:t>
            </w:r>
          </w:p>
          <w:p>
            <w:pPr>
              <w:jc w:val="left"/>
            </w:pPr>
            <w:r>
              <w:rPr>
                <w:rFonts w:ascii="Arial" w:cs="Arial" w:eastAsia="Arial" w:hAnsi="Arial"/>
                <w:sz w:val="24"/>
                <w:szCs w:val="24"/>
              </w:rPr>
              <w:t xml:space="preserve">за отчетным </w:t>
            </w:r>
          </w:p>
          <w:p>
            <w:pPr>
              <w:jc w:val="left"/>
            </w:pPr>
            <w:r>
              <w:rPr>
                <w:rFonts w:ascii="Arial" w:cs="Arial" w:eastAsia="Arial" w:hAnsi="Arial"/>
                <w:sz w:val="24"/>
                <w:szCs w:val="24"/>
              </w:rPr>
              <w:t xml:space="preserve">периодом</w:t>
            </w:r>
          </w:p>
        </w:tc>
      </w:tr>
      <w:tr>
        <w:tc>
          <w:tcPr>
            <w:tcW w:type="dxa" w:w="56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48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43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263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2062"/>
            <w:tcBorders>
              <w:top w:val="none" w:color="auto" w:sz="0"/>
              <w:left w:val="none" w:color="auto" w:sz="0"/>
              <w:bottom w:val="none" w:color="auto" w:sz="0"/>
              <w:right w:val="none" w:color="auto" w:sz="0"/>
            </w:tcBorders>
            <w:vAlign w:val="top"/>
          </w:tcPr>
          <w:p>
            <w:pPr>
              <w:jc w:val="right"/>
            </w:pPr>
            <w:r>
              <w:rPr>
                <w:rFonts w:ascii="Arial" w:cs="Arial" w:eastAsia="Arial" w:hAnsi="Arial"/>
                <w:b/>
                <w:bCs/>
                <w:sz w:val="24"/>
                <w:szCs w:val="24"/>
              </w:rPr>
              <w:t xml:space="preserve">».</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4sdvgphh7d32afem2_s2">
      <w:r>
        <w:rPr>
          <w:rFonts w:ascii="Arial" w:cs="Arial" w:eastAsia="Arial" w:hAnsi="Arial"/>
          <w:color w:val="132D3F"/>
          <w:sz w:val="16"/>
          <w:szCs w:val="16"/>
          <w:u w:val="single"/>
        </w:rPr>
        <w:t xml:space="preserve">dalil.kg/document/230010460</w:t>
      </w:r>
    </w:hyperlink>
  </w:p>
  <w:p>
    <w:pPr>
      <w:spacing w:after="0" w:before="40"/>
      <w:jc w:val="center"/>
    </w:pPr>
    <w:hyperlink w:history="1" r:id="rId9f-uttvjnflonvfycogr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jf36slymhi4ocezh1gzw" Type="http://schemas.openxmlformats.org/officeDocument/2006/relationships/hyperlink" Target="https://dalil.kg/document/202289" TargetMode="External"/><Relationship Id="rIduzqpxnr8ltkxozhqgpfkv" Type="http://schemas.openxmlformats.org/officeDocument/2006/relationships/hyperlink" Target="https://dalil.kg/document/112301#st_13" TargetMode="External"/><Relationship Id="rIdfpkrklstjyspu8kekwibf" Type="http://schemas.openxmlformats.org/officeDocument/2006/relationships/hyperlink" Target="https://dalil.kg/document/112301#st_17" TargetMode="External"/><Relationship Id="rIdgdknskzilthtdyrwigxxs" Type="http://schemas.openxmlformats.org/officeDocument/2006/relationships/hyperlink" Target="https://dalil.kg/document/91089" TargetMode="External"/><Relationship Id="rIdk-oco38xxo-1u0pzuckea" Type="http://schemas.openxmlformats.org/officeDocument/2006/relationships/hyperlink" Target="https://dalil.kg/document/91088" TargetMode="External"/><Relationship Id="rIdkhyzdjy0y3bxvaogcakvb" Type="http://schemas.openxmlformats.org/officeDocument/2006/relationships/hyperlink" Target="https://dalil.kg/document/91088" TargetMode="External"/><Relationship Id="rIdhg8fdb9a22onbbkif1wx6" Type="http://schemas.openxmlformats.org/officeDocument/2006/relationships/hyperlink" Target="https://dalil.kg/document/91089" TargetMode="External"/><Relationship Id="rIdeoz_zw4umxuq5ovllztnk" Type="http://schemas.openxmlformats.org/officeDocument/2006/relationships/hyperlink" Target="https://dalil.kg/document/202289" TargetMode="External"/><Relationship Id="rIdh0s0jn8spwaxzaaljzrmz" Type="http://schemas.openxmlformats.org/officeDocument/2006/relationships/hyperlink" Target="https://dalil.kg/document/111486" TargetMode="External"/><Relationship Id="rIdz2n0wer7niebxyc-w2xec" Type="http://schemas.openxmlformats.org/officeDocument/2006/relationships/hyperlink" Target="https://dalil.kg/document/202289" TargetMode="External"/><Relationship Id="rIdneu74gpszgztdg3ipu_lf" Type="http://schemas.openxmlformats.org/officeDocument/2006/relationships/hyperlink" Target="https://dalil.kg/document/112424" TargetMode="External"/><Relationship Id="rIdcdf4cujbhgjs6e6y16bki" Type="http://schemas.openxmlformats.org/officeDocument/2006/relationships/hyperlink" Target="https://dalil.kg/document/92321" TargetMode="External"/><Relationship Id="rId2jfrmadsjbcboa0mrzizn" Type="http://schemas.openxmlformats.org/officeDocument/2006/relationships/hyperlink" Target="https://dalil.kg/document/91096" TargetMode="External"/><Relationship Id="rIdmugzjakf5nwyuf15ek0t-" Type="http://schemas.openxmlformats.org/officeDocument/2006/relationships/hyperlink" Target="https://dalil.kg/document/91096" TargetMode="External"/><Relationship Id="rId7rydsqqisjiyo23z_e4ge" Type="http://schemas.openxmlformats.org/officeDocument/2006/relationships/hyperlink" Target="https://dalil.kg/document/92321" TargetMode="External"/><Relationship Id="rIdv80ve1wyhnyvv4tkapf4m" Type="http://schemas.openxmlformats.org/officeDocument/2006/relationships/hyperlink" Target="https://dalil.kg/document/91096#p17" TargetMode="External"/><Relationship Id="rIdfitf5-aw9hkzctpkrlzjr" Type="http://schemas.openxmlformats.org/officeDocument/2006/relationships/hyperlink" Target="https://dalil.kg/document/91096#p19" TargetMode="External"/><Relationship Id="rIdp2qz9ia1o2peq_qvaf6ek" Type="http://schemas.openxmlformats.org/officeDocument/2006/relationships/hyperlink" Target="https://dalil.kg/document/91096#p28" TargetMode="External"/><Relationship Id="rId2ajqmq2fi_h1blx7fsar7" Type="http://schemas.openxmlformats.org/officeDocument/2006/relationships/hyperlink" Target="https://dalil.kg/document/91096#p34" TargetMode="External"/><Relationship Id="rIdwidhoubrzton54lbymcjw" Type="http://schemas.openxmlformats.org/officeDocument/2006/relationships/hyperlink" Target="https://dalil.kg/document/91096#p22" TargetMode="External"/><Relationship Id="rIdimrae6nrsn8qkjmkh3hf0" Type="http://schemas.openxmlformats.org/officeDocument/2006/relationships/hyperlink" Target="https://dalil.kg/document/91096#p26" TargetMode="External"/><Relationship Id="rIddscwofqtqhqmejsvj2dr7" Type="http://schemas.openxmlformats.org/officeDocument/2006/relationships/hyperlink" Target="https://dalil.kg/document/91096#p27" TargetMode="External"/><Relationship Id="rIdk9jyzcp_qblp-yr7fcsj2" Type="http://schemas.openxmlformats.org/officeDocument/2006/relationships/hyperlink" Target="https://dalil.kg/document/91096#p32" TargetMode="External"/><Relationship Id="rIdoclmvtsoy2sngzugxoi1r" Type="http://schemas.openxmlformats.org/officeDocument/2006/relationships/hyperlink" Target="https://dalil.kg/document/91096#pr1" TargetMode="External"/><Relationship Id="rIdmbkhg8h6q1-o9qun6xpyq" Type="http://schemas.openxmlformats.org/officeDocument/2006/relationships/hyperlink" Target="https://dalil.kg/document/91096" TargetMode="External"/><Relationship Id="rId5r4qjk_cm1tt-fs1lz8yi" Type="http://schemas.openxmlformats.org/officeDocument/2006/relationships/hyperlink" Target="https://dalil.kg/document/230010460#pr" TargetMode="External"/><Relationship Id="rId9dlijzfrb2jyyjdlpx9gc" Type="http://schemas.openxmlformats.org/officeDocument/2006/relationships/hyperlink" Target="https://dalil.kg/document/230010460" TargetMode="External"/><Relationship Id="rIdciznikhz1ej4qkgwhhrrd" Type="http://schemas.openxmlformats.org/officeDocument/2006/relationships/hyperlink" Target="https://dalil.kg/document/91096#pr4" TargetMode="External"/><Relationship Id="rIdgq9lzpmxpw2uc0nveskw6" Type="http://schemas.openxmlformats.org/officeDocument/2006/relationships/hyperlink" Target="https://dalil.kg/document/91096" TargetMode="External"/><Relationship Id="rIdkkgetd4gosjyklgtzwjjk" Type="http://schemas.openxmlformats.org/officeDocument/2006/relationships/hyperlink" Target="https://dalil.kg/document/91096#pr1" TargetMode="External"/><Relationship Id="rId8" Type="http://schemas.openxmlformats.org/officeDocument/2006/relationships/image" Target="media/8de64316e95979c063c17bcd5380dc052a2594e9.png"/><Relationship Id="rId3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4sdvgphh7d32afem2_s2" Type="http://schemas.openxmlformats.org/officeDocument/2006/relationships/hyperlink" Target="https://dalil.kg/document/230010460" TargetMode="External"/><Relationship Id="rId9f-uttvjnflonvfycogr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2026-09-26T17:27:16.565Z</dcterms:created>
  <dcterms:modified xsi:type="dcterms:W3CDTF">2026-09-26T17:27:16.565Z</dcterms:modified>
</cp:coreProperties>
</file>

<file path=docProps/custom.xml><?xml version="1.0" encoding="utf-8"?>
<Properties xmlns="http://schemas.openxmlformats.org/officeDocument/2006/custom-properties" xmlns:vt="http://schemas.openxmlformats.org/officeDocument/2006/docPropsVTypes"/>
</file>