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списания задолженности (безнадежной) по</w:t>
      </w:r>
    </w:p>
    <w:p>
      <w:pPr>
        <w:spacing w:after="240" w:before="200"/>
        <w:jc w:val="center"/>
      </w:pPr>
      <w:r>
        <w:rPr>
          <w:rFonts w:ascii="Arial" w:cs="Arial" w:eastAsia="Arial" w:hAnsi="Arial"/>
          <w:b/>
          <w:bCs/>
          <w:sz w:val="32"/>
          <w:szCs w:val="32"/>
        </w:rPr>
        <w:t xml:space="preserve">уплате таможенных платежей, специальных,</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240" w:before="200"/>
        <w:jc w:val="center"/>
      </w:pPr>
      <w:r>
        <w:rPr>
          <w:rFonts w:ascii="Arial" w:cs="Arial" w:eastAsia="Arial" w:hAnsi="Arial"/>
          <w:b/>
          <w:bCs/>
          <w:sz w:val="32"/>
          <w:szCs w:val="32"/>
        </w:rPr>
        <w:t xml:space="preserve">процентов, пеней и штрафов</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w:t>
      </w:r>
      <w:hyperlink w:history="1" r:id="rIdzwem3zqovhtfhe1lxlca7">
        <w:r>
          <w:rPr>
            <w:rFonts w:ascii="Arial" w:cs="Arial" w:eastAsia="Arial" w:hAnsi="Arial"/>
            <w:i/>
            <w:iCs/>
            <w:color w:val="1D4ED8"/>
            <w:sz w:val="24"/>
            <w:szCs w:val="24"/>
            <w:u w:val="single"/>
          </w:rPr>
          <w:t xml:space="preserve"> постановления </w:t>
        </w:r>
      </w:hyperlink>
      <w:r>
        <w:rPr>
          <w:rFonts w:ascii="Arial" w:cs="Arial" w:eastAsia="Arial" w:hAnsi="Arial"/>
          <w:i/>
          <w:iCs/>
          <w:sz w:val="24"/>
          <w:szCs w:val="24"/>
        </w:rPr>
        <w:t xml:space="preserve">Кабинета Министров Кыргызской Республики от 19 июня 2024 года № 319)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регулирует правила списания задолженности по уплате таможенных платежей, специальных, антидемпинговых, компенсационных пошлин, процентов, пеней и штрафов.</w:t>
      </w:r>
    </w:p>
    <w:p>
      <w:pPr>
        <w:spacing w:after="120"/>
        <w:ind w:firstLine="397"/>
        <w:jc w:val="both"/>
      </w:pPr>
      <w:r>
        <w:rPr>
          <w:rFonts w:ascii="Arial" w:cs="Arial" w:eastAsia="Arial" w:hAnsi="Arial"/>
          <w:sz w:val="24"/>
          <w:szCs w:val="24"/>
        </w:rPr>
        <w:t xml:space="preserve">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процентов, пеней и штрафов, признается безнадежным долгом в соответствии со </w:t>
      </w:r>
      <w:hyperlink w:history="1" r:id="rId-h8aienwk1ez5wx-ds811">
        <w:r>
          <w:rPr>
            <w:rFonts w:ascii="Arial" w:cs="Arial" w:eastAsia="Arial" w:hAnsi="Arial"/>
            <w:color w:val="1D4ED8"/>
            <w:sz w:val="24"/>
            <w:szCs w:val="24"/>
            <w:u w:val="single"/>
          </w:rPr>
          <w:t xml:space="preserve">статьей 83</w:t>
        </w:r>
      </w:hyperlink>
      <w:r>
        <w:rPr>
          <w:rFonts w:ascii="Arial" w:cs="Arial" w:eastAsia="Arial" w:hAnsi="Arial"/>
          <w:sz w:val="24"/>
          <w:szCs w:val="24"/>
        </w:rPr>
        <w:t xml:space="preserve"> Закона Кыргызской Республики "О таможенном регулировании".</w:t>
      </w:r>
    </w:p>
    <w:p>
      <w:pPr>
        <w:spacing w:after="120"/>
        <w:ind w:firstLine="397"/>
        <w:jc w:val="both"/>
      </w:pPr>
      <w:r>
        <w:rPr>
          <w:rFonts w:ascii="Arial" w:cs="Arial" w:eastAsia="Arial" w:hAnsi="Arial"/>
          <w:sz w:val="24"/>
          <w:szCs w:val="24"/>
        </w:rPr>
        <w:t xml:space="preserve">2. Приказом таможенного органа, в регионе деятельности которого возникла задолженность, признанная безнадежным долгом, создается комиссия по списанию задолженности по уплате таможенных платежей, специальных, антидемпинговых, компенсационных пошлин, процентов, пеней и штрафов.</w:t>
      </w:r>
    </w:p>
    <w:p>
      <w:pPr>
        <w:spacing w:after="120"/>
        <w:ind w:firstLine="397"/>
        <w:jc w:val="both"/>
      </w:pPr>
      <w:r>
        <w:rPr>
          <w:rFonts w:ascii="Arial" w:cs="Arial" w:eastAsia="Arial" w:hAnsi="Arial"/>
          <w:sz w:val="24"/>
          <w:szCs w:val="24"/>
        </w:rPr>
        <w:t xml:space="preserve">3. Комиссия формируется в нечетном количестве из числа сотрудников таможенного органа в составе не менее пяти членов и возглавляется начальником или заместителем начальника таможенного органа.</w:t>
      </w:r>
    </w:p>
    <w:p>
      <w:pPr>
        <w:spacing w:after="120"/>
        <w:ind w:firstLine="397"/>
        <w:jc w:val="both"/>
      </w:pPr>
      <w:r>
        <w:rPr>
          <w:rFonts w:ascii="Arial" w:cs="Arial" w:eastAsia="Arial" w:hAnsi="Arial"/>
          <w:sz w:val="24"/>
          <w:szCs w:val="24"/>
        </w:rPr>
        <w:t xml:space="preserve">4. Для участия в работе комиссии могут быть приглашены эксперты.</w:t>
      </w:r>
    </w:p>
    <w:p>
      <w:pPr>
        <w:spacing w:after="120"/>
        <w:ind w:firstLine="397"/>
        <w:jc w:val="both"/>
      </w:pPr>
      <w:r>
        <w:rPr>
          <w:rFonts w:ascii="Arial" w:cs="Arial" w:eastAsia="Arial" w:hAnsi="Arial"/>
          <w:sz w:val="24"/>
          <w:szCs w:val="24"/>
        </w:rPr>
        <w:t xml:space="preserve">5. 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120"/>
        <w:ind w:firstLine="397"/>
        <w:jc w:val="both"/>
      </w:pPr>
      <w:r>
        <w:rPr>
          <w:rFonts w:ascii="Arial" w:cs="Arial" w:eastAsia="Arial" w:hAnsi="Arial"/>
          <w:sz w:val="24"/>
          <w:szCs w:val="24"/>
        </w:rPr>
        <w:t xml:space="preserve">6. Решение комиссии оформляется по форме, определяемой уполномоченным государственным органом в сфере таможенного дела, и является основанием для списания плательщику задолженности по уплате таможенных платежей, специальных, антидемпинговых, компенсационных пошлин, процентов, пеней и штрафов. Решение составляется в 1 (одном) экземпляре для проведения операций по списанию соответствующим таможенным органом. По требованию плательщика предоставляется копия решения.</w:t>
      </w:r>
    </w:p>
    <w:p>
      <w:pPr>
        <w:spacing w:after="120"/>
        <w:ind w:firstLine="397"/>
        <w:jc w:val="both"/>
      </w:pPr>
      <w:r>
        <w:rPr>
          <w:rFonts w:ascii="Arial" w:cs="Arial" w:eastAsia="Arial" w:hAnsi="Arial"/>
          <w:sz w:val="24"/>
          <w:szCs w:val="24"/>
        </w:rPr>
        <w:t xml:space="preserve">7. Решение о списании задолженности лиц, ответственных за уплату таможенных платежей, специальных, антидемпинговых, компенсационных пошлин, процентов, пеней и штрафов,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плательщика по уплате таможенных платежей, специальных, антидемпинговых, компенсационных пошлин, процентов, пеней и штрафов, и необходимости ее списания;</w:t>
      </w:r>
    </w:p>
    <w:p>
      <w:pPr>
        <w:spacing w:after="120"/>
        <w:ind w:firstLine="397"/>
        <w:jc w:val="both"/>
      </w:pPr>
      <w:r>
        <w:rPr>
          <w:rFonts w:ascii="Arial" w:cs="Arial" w:eastAsia="Arial" w:hAnsi="Arial"/>
          <w:sz w:val="24"/>
          <w:szCs w:val="24"/>
        </w:rPr>
        <w:t xml:space="preserve">2) справка с банка об отсутствии денежных средств на расчетных счетах плательщика или о закрытии счета и др.;</w:t>
      </w:r>
    </w:p>
    <w:p>
      <w:pPr>
        <w:spacing w:after="120"/>
        <w:ind w:firstLine="397"/>
        <w:jc w:val="both"/>
      </w:pPr>
      <w:r>
        <w:rPr>
          <w:rFonts w:ascii="Arial" w:cs="Arial" w:eastAsia="Arial" w:hAnsi="Arial"/>
          <w:sz w:val="24"/>
          <w:szCs w:val="24"/>
        </w:rPr>
        <w:t xml:space="preserve">3) решения уполномоченного государственного органа в сфере юстиции о прекращении деятельности юридического лица;</w:t>
      </w:r>
    </w:p>
    <w:p>
      <w:pPr>
        <w:spacing w:after="120"/>
        <w:ind w:firstLine="397"/>
        <w:jc w:val="both"/>
      </w:pPr>
      <w:r>
        <w:rPr>
          <w:rFonts w:ascii="Arial" w:cs="Arial" w:eastAsia="Arial" w:hAnsi="Arial"/>
          <w:sz w:val="24"/>
          <w:szCs w:val="24"/>
        </w:rPr>
        <w:t xml:space="preserve">4) рапорт подразделения таможенного органа, отражающий обеспечение применения к плательщику мер взыскания задолженности в соответствии с разделом 6 Инструкции по контролю за исчислением и уплатой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8. Решение о списании задолженности юридических лиц по уплате таможенных платежей, специальных, антидемпинговых, компенсационных пошлин, процентов, пеней и штрафов, признанных банкротами в соответствии с </w:t>
      </w:r>
      <w:hyperlink w:history="1" r:id="rIdprpr_o5vikn4vptq1bc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специальных, антидемпинговых, компенсационных пошлин, процентов, пеней и штрафов юридического лица и необходимости ее списания;</w:t>
      </w:r>
    </w:p>
    <w:p>
      <w:pPr>
        <w:spacing w:after="120"/>
        <w:ind w:firstLine="397"/>
        <w:jc w:val="both"/>
      </w:pPr>
      <w:r>
        <w:rPr>
          <w:rFonts w:ascii="Arial" w:cs="Arial" w:eastAsia="Arial" w:hAnsi="Arial"/>
          <w:sz w:val="24"/>
          <w:szCs w:val="24"/>
        </w:rPr>
        <w:t xml:space="preserve">2) копия вступившего в силу решения суда о признании банкротом организации, индивидуального предпринимателя;</w:t>
      </w:r>
    </w:p>
    <w:p>
      <w:pPr>
        <w:spacing w:after="120"/>
        <w:ind w:firstLine="397"/>
        <w:jc w:val="both"/>
      </w:pPr>
      <w:r>
        <w:rPr>
          <w:rFonts w:ascii="Arial" w:cs="Arial" w:eastAsia="Arial" w:hAnsi="Arial"/>
          <w:sz w:val="24"/>
          <w:szCs w:val="24"/>
        </w:rPr>
        <w:t xml:space="preserve">3) копия решения собрания кредиторов об объявлении организации банкротом и проведении процедуры специального администрирования должника во внесудебном порядке;</w:t>
      </w:r>
    </w:p>
    <w:p>
      <w:pPr>
        <w:spacing w:after="120"/>
        <w:ind w:firstLine="397"/>
        <w:jc w:val="both"/>
      </w:pPr>
      <w:r>
        <w:rPr>
          <w:rFonts w:ascii="Arial" w:cs="Arial" w:eastAsia="Arial" w:hAnsi="Arial"/>
          <w:sz w:val="24"/>
          <w:szCs w:val="24"/>
        </w:rPr>
        <w:t xml:space="preserve">4) копия решения собрания кредиторов об окончании процедуры специального администрирования;</w:t>
      </w:r>
    </w:p>
    <w:p>
      <w:pPr>
        <w:spacing w:after="120"/>
        <w:ind w:firstLine="397"/>
        <w:jc w:val="both"/>
      </w:pPr>
      <w:r>
        <w:rPr>
          <w:rFonts w:ascii="Arial" w:cs="Arial" w:eastAsia="Arial" w:hAnsi="Arial"/>
          <w:sz w:val="24"/>
          <w:szCs w:val="24"/>
        </w:rPr>
        <w:t xml:space="preserve">5) копия приказа уполномоченного государственного органа в сфере юстиции о государственной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9. Решение о списании задолженности физического лица, умершего или объявленного судом умершим, по таможенным платежам, процентам и пеням,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120"/>
        <w:ind w:firstLine="397"/>
        <w:jc w:val="both"/>
      </w:pPr>
      <w:r>
        <w:rPr>
          <w:rFonts w:ascii="Arial" w:cs="Arial" w:eastAsia="Arial" w:hAnsi="Arial"/>
          <w:sz w:val="24"/>
          <w:szCs w:val="24"/>
        </w:rPr>
        <w:t xml:space="preserve">2) копия свидетельства о смерти физического лица или копия судебного решения об объявлении физического лица умершим;</w:t>
      </w:r>
    </w:p>
    <w:p>
      <w:pPr>
        <w:spacing w:after="120"/>
        <w:ind w:firstLine="397"/>
        <w:jc w:val="both"/>
      </w:pPr>
      <w:r>
        <w:rPr>
          <w:rFonts w:ascii="Arial" w:cs="Arial" w:eastAsia="Arial" w:hAnsi="Arial"/>
          <w:sz w:val="24"/>
          <w:szCs w:val="24"/>
        </w:rPr>
        <w:t xml:space="preserve">3) копия свидетельства о праве на наследство (управление наследством) или копии документов, подтверждающих отказ от наследства;</w:t>
      </w:r>
    </w:p>
    <w:p>
      <w:pPr>
        <w:spacing w:after="120"/>
        <w:ind w:firstLine="397"/>
        <w:jc w:val="both"/>
      </w:pPr>
      <w:r>
        <w:rPr>
          <w:rFonts w:ascii="Arial" w:cs="Arial" w:eastAsia="Arial" w:hAnsi="Arial"/>
          <w:sz w:val="24"/>
          <w:szCs w:val="24"/>
        </w:rPr>
        <w:t xml:space="preserve">4) копия документа, удостоверяющего личность физического лица, принимающего наследство;</w:t>
      </w:r>
    </w:p>
    <w:p>
      <w:pPr>
        <w:spacing w:after="120"/>
        <w:ind w:firstLine="397"/>
        <w:jc w:val="both"/>
      </w:pPr>
      <w:r>
        <w:rPr>
          <w:rFonts w:ascii="Arial" w:cs="Arial" w:eastAsia="Arial" w:hAnsi="Arial"/>
          <w:sz w:val="24"/>
          <w:szCs w:val="24"/>
        </w:rPr>
        <w:t xml:space="preserve">5) справка об имуществе или его части, перешедшей по наследованию;</w:t>
      </w:r>
    </w:p>
    <w:p>
      <w:pPr>
        <w:spacing w:after="120"/>
        <w:ind w:firstLine="397"/>
        <w:jc w:val="both"/>
      </w:pPr>
      <w:r>
        <w:rPr>
          <w:rFonts w:ascii="Arial" w:cs="Arial" w:eastAsia="Arial" w:hAnsi="Arial"/>
          <w:sz w:val="24"/>
          <w:szCs w:val="24"/>
        </w:rPr>
        <w:t xml:space="preserve">6) документ, подтверждающий уплату наследником умершего или объявленного судом, умершим физического лица задолженности, приходящейся на принятую часть наследства, или официальные документы о невозможности взыскания указанной задолженности с наследника.</w:t>
      </w:r>
    </w:p>
    <w:p>
      <w:pPr>
        <w:spacing w:after="120"/>
        <w:ind w:firstLine="397"/>
        <w:jc w:val="both"/>
      </w:pPr>
      <w:r>
        <w:rPr>
          <w:rFonts w:ascii="Arial" w:cs="Arial" w:eastAsia="Arial" w:hAnsi="Arial"/>
          <w:sz w:val="24"/>
          <w:szCs w:val="24"/>
        </w:rPr>
        <w:t xml:space="preserve">10. Решение о списании задолженности физического лица, признанного решением суда безвестно отсутствующим или недееспособным, по таможенным платежам, процентам, пеням и штрафам,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120"/>
        <w:ind w:firstLine="397"/>
        <w:jc w:val="both"/>
      </w:pPr>
      <w:r>
        <w:rPr>
          <w:rFonts w:ascii="Arial" w:cs="Arial" w:eastAsia="Arial" w:hAnsi="Arial"/>
          <w:sz w:val="24"/>
          <w:szCs w:val="24"/>
        </w:rPr>
        <w:t xml:space="preserve">2) копия судебного решения о признании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3) копия документа об установлении опекунства, попечительства или управления имуществом;</w:t>
      </w:r>
    </w:p>
    <w:p>
      <w:pPr>
        <w:spacing w:after="120"/>
        <w:ind w:firstLine="397"/>
        <w:jc w:val="both"/>
      </w:pPr>
      <w:r>
        <w:rPr>
          <w:rFonts w:ascii="Arial" w:cs="Arial" w:eastAsia="Arial" w:hAnsi="Arial"/>
          <w:sz w:val="24"/>
          <w:szCs w:val="24"/>
        </w:rPr>
        <w:t xml:space="preserve">4) справка об имуществе физического лица, безвестно отсутствующего или недееспособного.</w:t>
      </w:r>
    </w:p>
    <w:p>
      <w:pPr>
        <w:spacing w:after="120"/>
        <w:ind w:firstLine="397"/>
        <w:jc w:val="both"/>
      </w:pPr>
      <w:r>
        <w:rPr>
          <w:rFonts w:ascii="Arial" w:cs="Arial" w:eastAsia="Arial" w:hAnsi="Arial"/>
          <w:sz w:val="24"/>
          <w:szCs w:val="24"/>
        </w:rPr>
        <w:t xml:space="preserve">11. Предоставление документов, указанных в пунктах </w:t>
      </w:r>
      <w:hyperlink w:history="1" r:id="rIdotsko_cufscw2hwx_dfbv">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hyperlink w:history="1" r:id="rId4mfddy911vs5pzhmyfcuh">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Порядка не требуется в случае получения указанных документов посредством системы межведомственного электронного взаимодействия "Тундук".</w:t>
      </w:r>
    </w:p>
    <w:p>
      <w:pPr>
        <w:spacing w:after="120"/>
        <w:ind w:firstLine="397"/>
        <w:jc w:val="both"/>
      </w:pPr>
      <w:r>
        <w:rPr>
          <w:rFonts w:ascii="Arial" w:cs="Arial" w:eastAsia="Arial" w:hAnsi="Arial"/>
          <w:sz w:val="24"/>
          <w:szCs w:val="24"/>
        </w:rPr>
        <w:t xml:space="preserve">12. При списании задолженности по уплате таможенных платежей, процентов, пеней и штрафов в соответствии с отдельным законом, решение комиссии оформляется в соответствии с указанным Законом.</w:t>
      </w:r>
    </w:p>
    <w:p>
      <w:pPr>
        <w:spacing w:after="120"/>
        <w:ind w:firstLine="397"/>
        <w:jc w:val="both"/>
      </w:pPr>
      <w:r>
        <w:rPr>
          <w:rFonts w:ascii="Arial" w:cs="Arial" w:eastAsia="Arial" w:hAnsi="Arial"/>
          <w:sz w:val="24"/>
          <w:szCs w:val="24"/>
        </w:rPr>
        <w:t xml:space="preserve">13. Таможенный орган, в регионе деятельности которого возникла задолженность, формирует сведения о плательщиках, которым списана задолженность по уплате таможенных платежей, начисленным процентам, пеням и штрафам, с указанием сумм и ежеквартально направляет такие сведения уполномоченному государственному органу в сфере таможенного дела.</w:t>
      </w:r>
    </w:p>
    <w:p>
      <w:pPr>
        <w:spacing w:after="120"/>
        <w:ind w:firstLine="397"/>
        <w:jc w:val="both"/>
      </w:pPr>
      <w:r>
        <w:rPr>
          <w:rFonts w:ascii="Arial" w:cs="Arial" w:eastAsia="Arial" w:hAnsi="Arial"/>
          <w:sz w:val="24"/>
          <w:szCs w:val="24"/>
        </w:rPr>
        <w:t xml:space="preserve">14. В случае если после списания задолженности по уплате таможенных платежей, начисленным процентам, пеням и штрафам будет доказано, что плательщик в целях уклонения от уплаты задолженности по уплате таможенных платежей, начисленным процентам, пеням и штрафам передал другому лицу или иным образом намеренно скрыл свое имущество или денежные средства, списанная задолженность восстанавливается таможенным органом путем обращения взыскания на имущество или денежные средства для погашения списанной задолженности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wokkldtn5wlgkpyxkijd">
      <w:r>
        <w:rPr>
          <w:rFonts w:ascii="Arial" w:cs="Arial" w:eastAsia="Arial" w:hAnsi="Arial"/>
          <w:color w:val="132D3F"/>
          <w:sz w:val="16"/>
          <w:szCs w:val="16"/>
          <w:u w:val="single"/>
        </w:rPr>
        <w:t xml:space="preserve">dalil.kg/document/230010535</w:t>
      </w:r>
    </w:hyperlink>
  </w:p>
  <w:p>
    <w:pPr>
      <w:spacing w:after="0" w:before="40"/>
      <w:jc w:val="center"/>
    </w:pPr>
    <w:hyperlink w:history="1" r:id="rIdrlcnlunxnyhzlhfu_v56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em3zqovhtfhe1lxlca7" Type="http://schemas.openxmlformats.org/officeDocument/2006/relationships/hyperlink" Target="https://dalil.kg/document/230011450" TargetMode="External"/><Relationship Id="rId-h8aienwk1ez5wx-ds811" Type="http://schemas.openxmlformats.org/officeDocument/2006/relationships/hyperlink" Target="https://dalil.kg/document/111908#st_83" TargetMode="External"/><Relationship Id="rIdprpr_o5vikn4vptq1bcsj" Type="http://schemas.openxmlformats.org/officeDocument/2006/relationships/hyperlink" Target="https://dalil.kg/document/574" TargetMode="External"/><Relationship Id="rIdotsko_cufscw2hwx_dfbv" Type="http://schemas.openxmlformats.org/officeDocument/2006/relationships/hyperlink" Target="https://dalil.kg/document/230010535#p7" TargetMode="External"/><Relationship Id="rId4mfddy911vs5pzhmyfcuh" Type="http://schemas.openxmlformats.org/officeDocument/2006/relationships/hyperlink" Target="https://dalil.kg/document/230010535#p1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wokkldtn5wlgkpyxkijd" Type="http://schemas.openxmlformats.org/officeDocument/2006/relationships/hyperlink" Target="https://dalil.kg/document/230010535" TargetMode="External"/><Relationship Id="rIdrlcnlunxnyhzlhfu_v56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2026-10-02T22:02:21.404Z</dcterms:created>
  <dcterms:modified xsi:type="dcterms:W3CDTF">2026-10-02T22:02:21.404Z</dcterms:modified>
</cp:coreProperties>
</file>

<file path=docProps/custom.xml><?xml version="1.0" encoding="utf-8"?>
<Properties xmlns="http://schemas.openxmlformats.org/officeDocument/2006/custom-properties" xmlns:vt="http://schemas.openxmlformats.org/officeDocument/2006/docPropsVTypes"/>
</file>