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3 </w:t>
      </w:r>
      <w:r>
        <w:rPr>
          <w:rFonts w:ascii="Arial" w:cs="Arial" w:eastAsia="Arial" w:hAnsi="Arial"/>
          <w:sz w:val="24"/>
          <w:szCs w:val="24"/>
        </w:rPr>
        <w:t xml:space="preserve">июля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349</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некоторых вопросах в сфере таможенного дела» от 13 февраля 2020 года № 79</w:t>
      </w:r>
    </w:p>
    <w:p>
      <w:pPr>
        <w:spacing w:after="120"/>
        <w:ind w:firstLine="397"/>
        <w:jc w:val="both"/>
      </w:pPr>
      <w:r>
        <w:rPr>
          <w:rFonts w:ascii="Arial" w:cs="Arial" w:eastAsia="Arial" w:hAnsi="Arial"/>
          <w:sz w:val="24"/>
          <w:szCs w:val="24"/>
        </w:rPr>
        <w:t xml:space="preserve">В целях реализации требований </w:t>
      </w:r>
      <w:hyperlink w:history="1" r:id="rIdtvixveabntbyxbmlykrfh">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Закона Кыргызской Республики «О таможенном регулировании», в соответствии со статьями </w:t>
      </w:r>
      <w:hyperlink w:history="1" r:id="rIdkrlq1v0ehhvn6skz52fn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uulg79jxtfht1-takdx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wcbpsvliprqiyqfuqh5y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 следующие изменения:</w:t>
      </w:r>
    </w:p>
    <w:p>
      <w:pPr>
        <w:spacing w:after="120"/>
        <w:ind w:firstLine="397"/>
        <w:jc w:val="both"/>
      </w:pPr>
      <w:r>
        <w:rPr>
          <w:rFonts w:ascii="Arial" w:cs="Arial" w:eastAsia="Arial" w:hAnsi="Arial"/>
          <w:sz w:val="24"/>
          <w:szCs w:val="24"/>
        </w:rPr>
        <w:t xml:space="preserve">в </w:t>
      </w:r>
      <w:hyperlink w:history="1" r:id="rIdcjhojjlrrb_fzckqdyue1">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контролю за исчислением и уплатой таможенных платежей, специальных, антидемпинговых и компенсационных пошлин, утвержденной вышеуказанным </w:t>
      </w:r>
      <w:hyperlink w:history="1" r:id="rIdvjvjosemj2gw4wmm6qob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w:t>
      </w:r>
      <w:hyperlink w:history="1" r:id="rId_vifkx7zgdzcqxn3ouixn">
        <w:r>
          <w:rPr>
            <w:rFonts w:ascii="Arial" w:cs="Arial" w:eastAsia="Arial" w:hAnsi="Arial"/>
            <w:color w:val="1D4ED8"/>
            <w:sz w:val="24"/>
            <w:szCs w:val="24"/>
            <w:u w:val="single"/>
          </w:rPr>
          <w:t xml:space="preserve">пункте 36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 первый изложить в следующей редакции:</w:t>
      </w:r>
    </w:p>
    <w:p>
      <w:pPr>
        <w:spacing w:after="120"/>
        <w:ind w:firstLine="397"/>
        <w:jc w:val="both"/>
      </w:pPr>
      <w:r>
        <w:rPr>
          <w:rFonts w:ascii="Arial" w:cs="Arial" w:eastAsia="Arial" w:hAnsi="Arial"/>
          <w:sz w:val="24"/>
          <w:szCs w:val="24"/>
        </w:rPr>
        <w:t xml:space="preserve">«36. Таможенные сборы за совершение таможенными органами таможенных операций, связанных с выпуском товаров, уплачиваются одновременно с подачей таможенной декларации, за исключением выпуска товаров в соответствии с таможенной процедурой таможенного транзита.»;</w:t>
      </w:r>
    </w:p>
    <w:p>
      <w:pPr>
        <w:spacing w:after="120"/>
        <w:ind w:firstLine="397"/>
        <w:jc w:val="both"/>
      </w:pPr>
      <w:r>
        <w:rPr>
          <w:rFonts w:ascii="Arial" w:cs="Arial" w:eastAsia="Arial" w:hAnsi="Arial"/>
          <w:sz w:val="24"/>
          <w:szCs w:val="24"/>
        </w:rPr>
        <w:t xml:space="preserve">дополнить абзацем вторым следующего содержания:</w:t>
      </w:r>
    </w:p>
    <w:p>
      <w:pPr>
        <w:spacing w:after="120"/>
        <w:ind w:firstLine="397"/>
        <w:jc w:val="both"/>
      </w:pPr>
      <w:r>
        <w:rPr>
          <w:rFonts w:ascii="Arial" w:cs="Arial" w:eastAsia="Arial" w:hAnsi="Arial"/>
          <w:sz w:val="24"/>
          <w:szCs w:val="24"/>
        </w:rPr>
        <w:t xml:space="preserve">«При выпуске товаров в соответствии с таможенной процедурой таможенного транзита сборы за совершение таможенными органами таможенных операций уплачиваются в любой момент до завершения таможенной процедуры таможенного транзита с территории Союза в Кыргызской Республике.»;</w:t>
      </w:r>
    </w:p>
    <w:p>
      <w:pPr>
        <w:spacing w:after="120"/>
        <w:ind w:firstLine="397"/>
        <w:jc w:val="both"/>
      </w:pPr>
      <w:r>
        <w:rPr>
          <w:rFonts w:ascii="Arial" w:cs="Arial" w:eastAsia="Arial" w:hAnsi="Arial"/>
          <w:sz w:val="24"/>
          <w:szCs w:val="24"/>
        </w:rPr>
        <w:t xml:space="preserve">- </w:t>
      </w:r>
      <w:hyperlink w:history="1" r:id="rIdmdzumz0qhx6nkvgw7th_r">
        <w:r>
          <w:rPr>
            <w:rFonts w:ascii="Arial" w:cs="Arial" w:eastAsia="Arial" w:hAnsi="Arial"/>
            <w:color w:val="1D4ED8"/>
            <w:sz w:val="24"/>
            <w:szCs w:val="24"/>
            <w:u w:val="single"/>
          </w:rPr>
          <w:t xml:space="preserve">пункт 38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«38. За совершение действий, связанных с помещением товаров и транспортных средств под таможенные процедуры, взимаются таможенные сборы за таможенные операции в размере 0,4 процента от таможенной стоимости, но не менее 5 размеров расчетного показателя и не более 2500 размеров расчетного показателя.</w:t>
      </w:r>
    </w:p>
    <w:p>
      <w:pPr>
        <w:spacing w:after="120"/>
        <w:ind w:firstLine="397"/>
        <w:jc w:val="both"/>
      </w:pPr>
      <w:r>
        <w:rPr>
          <w:rFonts w:ascii="Arial" w:cs="Arial" w:eastAsia="Arial" w:hAnsi="Arial"/>
          <w:sz w:val="24"/>
          <w:szCs w:val="24"/>
        </w:rPr>
        <w:t xml:space="preserve">Таможенные сборы за совершение таможенных операций, связанных с выпуском товаров в соответствии с таможенной процедурой таможенного транзита, не взимаются в случаях:</w:t>
      </w:r>
    </w:p>
    <w:p>
      <w:pPr>
        <w:spacing w:after="120"/>
        <w:ind w:firstLine="397"/>
        <w:jc w:val="both"/>
      </w:pPr>
      <w:r>
        <w:rPr>
          <w:rFonts w:ascii="Arial" w:cs="Arial" w:eastAsia="Arial" w:hAnsi="Arial"/>
          <w:sz w:val="24"/>
          <w:szCs w:val="24"/>
        </w:rPr>
        <w:t xml:space="preserve">- перевозки товаров от таможенного органа в месте прибытия до внутреннего таможенного органа в Кыргызской Республике с завершением таможенной процедуры таможенного транзита для дальнейшего помещения под иные таможенные процедуры;</w:t>
      </w:r>
    </w:p>
    <w:p>
      <w:pPr>
        <w:spacing w:after="120"/>
        <w:ind w:firstLine="397"/>
        <w:jc w:val="both"/>
      </w:pPr>
      <w:r>
        <w:rPr>
          <w:rFonts w:ascii="Arial" w:cs="Arial" w:eastAsia="Arial" w:hAnsi="Arial"/>
          <w:sz w:val="24"/>
          <w:szCs w:val="24"/>
        </w:rPr>
        <w:t xml:space="preserve">- перевозки товаров от одного внутреннего таможенного органа до другого внутреннего таможенного органа с завершением таможенной процедуры таможенного транзита для дальнейшего помещения под иные таможенные процедуры;</w:t>
      </w:r>
    </w:p>
    <w:p>
      <w:pPr>
        <w:spacing w:after="120"/>
        <w:ind w:firstLine="397"/>
        <w:jc w:val="both"/>
      </w:pPr>
      <w:r>
        <w:rPr>
          <w:rFonts w:ascii="Arial" w:cs="Arial" w:eastAsia="Arial" w:hAnsi="Arial"/>
          <w:sz w:val="24"/>
          <w:szCs w:val="24"/>
        </w:rPr>
        <w:t xml:space="preserve">- перевозки товаров под таможенной процедурой таможенного транзита, ранее помещенных под иные таможенные процедуры от внутреннего таможенного органа до места убытия из территории Союза, за исключением случая завершения таможенной процедуры таможенного склада таможенной процедурой таможенного транзита на территорию государств-членов Союза.</w:t>
      </w:r>
    </w:p>
    <w:p>
      <w:pPr>
        <w:spacing w:after="120"/>
        <w:ind w:firstLine="397"/>
        <w:jc w:val="both"/>
      </w:pPr>
      <w:r>
        <w:rPr>
          <w:rFonts w:ascii="Arial" w:cs="Arial" w:eastAsia="Arial" w:hAnsi="Arial"/>
          <w:sz w:val="24"/>
          <w:szCs w:val="24"/>
        </w:rPr>
        <w:t xml:space="preserve">За принятие предварительного решения по классификации товаров и о происхождении товаров взимаются таможенные сборы в размере десяти расчетных показателей.»;</w:t>
      </w:r>
    </w:p>
    <w:p>
      <w:pPr>
        <w:spacing w:after="120"/>
        <w:ind w:firstLine="397"/>
        <w:jc w:val="both"/>
      </w:pPr>
      <w:r>
        <w:rPr>
          <w:rFonts w:ascii="Arial" w:cs="Arial" w:eastAsia="Arial" w:hAnsi="Arial"/>
          <w:sz w:val="24"/>
          <w:szCs w:val="24"/>
        </w:rPr>
        <w:t xml:space="preserve">- дополнить </w:t>
      </w:r>
      <w:hyperlink w:history="1" r:id="rIdewtrrkartvd6ehodby1eo">
        <w:r>
          <w:rPr>
            <w:rFonts w:ascii="Arial" w:cs="Arial" w:eastAsia="Arial" w:hAnsi="Arial"/>
            <w:color w:val="1D4ED8"/>
            <w:sz w:val="24"/>
            <w:szCs w:val="24"/>
            <w:u w:val="single"/>
          </w:rPr>
          <w:t xml:space="preserve">пунктом 38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В отношении специализированных товаров для лиц с ограниченными возможностями здоровья сборы за совершение таможенными органами таможенных операций, связанных с выпуском товаров, не уплачиваются согласно Перечню специализированных товаров для лиц с ограниченными возможностями здоровья, утвержденному </w:t>
      </w:r>
      <w:hyperlink w:history="1" r:id="rId4hwe_s1xy-lx7np2gtk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ylgp6ow2vxysozlhaanmb">
        <w:r>
          <w:rPr>
            <w:rFonts w:ascii="Arial" w:cs="Arial" w:eastAsia="Arial" w:hAnsi="Arial"/>
            <w:color w:val="1D4ED8"/>
            <w:sz w:val="24"/>
            <w:szCs w:val="24"/>
            <w:u w:val="single"/>
          </w:rPr>
          <w:t xml:space="preserve">289</w:t>
        </w:r>
      </w:hyperlink>
      <w:r>
        <w:rPr>
          <w:rFonts w:ascii="Arial" w:cs="Arial" w:eastAsia="Arial" w:hAnsi="Arial"/>
          <w:sz w:val="24"/>
          <w:szCs w:val="24"/>
        </w:rPr>
        <w:t xml:space="preserve">, </w:t>
      </w:r>
      <w:hyperlink w:history="1" r:id="rIdegu4frmw9nnvg7boewdzr">
        <w:r>
          <w:rPr>
            <w:rFonts w:ascii="Arial" w:cs="Arial" w:eastAsia="Arial" w:hAnsi="Arial"/>
            <w:color w:val="1D4ED8"/>
            <w:sz w:val="24"/>
            <w:szCs w:val="24"/>
            <w:u w:val="single"/>
          </w:rPr>
          <w:t xml:space="preserve">297</w:t>
        </w:r>
      </w:hyperlink>
      <w:r>
        <w:rPr>
          <w:rFonts w:ascii="Arial" w:cs="Arial" w:eastAsia="Arial" w:hAnsi="Arial"/>
          <w:sz w:val="24"/>
          <w:szCs w:val="24"/>
        </w:rPr>
        <w:t xml:space="preserve">, </w:t>
      </w:r>
      <w:hyperlink w:history="1" r:id="rId1z_5qvbj0fmntthh7uwf3">
        <w:r>
          <w:rPr>
            <w:rFonts w:ascii="Arial" w:cs="Arial" w:eastAsia="Arial" w:hAnsi="Arial"/>
            <w:color w:val="1D4ED8"/>
            <w:sz w:val="24"/>
            <w:szCs w:val="24"/>
            <w:u w:val="single"/>
          </w:rPr>
          <w:t xml:space="preserve">298</w:t>
        </w:r>
      </w:hyperlink>
      <w:r>
        <w:rPr>
          <w:rFonts w:ascii="Arial" w:cs="Arial" w:eastAsia="Arial" w:hAnsi="Arial"/>
          <w:sz w:val="24"/>
          <w:szCs w:val="24"/>
        </w:rPr>
        <w:t xml:space="preserve"> и </w:t>
      </w:r>
      <w:hyperlink w:history="1" r:id="rIdndxv6nec1knrb9-izkiji">
        <w:r>
          <w:rPr>
            <w:rFonts w:ascii="Arial" w:cs="Arial" w:eastAsia="Arial" w:hAnsi="Arial"/>
            <w:color w:val="1D4ED8"/>
            <w:sz w:val="24"/>
            <w:szCs w:val="24"/>
            <w:u w:val="single"/>
          </w:rPr>
          <w:t xml:space="preserve">299</w:t>
        </w:r>
      </w:hyperlink>
      <w:r>
        <w:rPr>
          <w:rFonts w:ascii="Arial" w:cs="Arial" w:eastAsia="Arial" w:hAnsi="Arial"/>
          <w:sz w:val="24"/>
          <w:szCs w:val="24"/>
        </w:rPr>
        <w:t xml:space="preserve"> Налогового кодекса Кыргызской Республики" от 11 марта 2022 года № 131, при условии, что:</w:t>
      </w:r>
    </w:p>
    <w:p>
      <w:pPr>
        <w:spacing w:after="120"/>
        <w:ind w:firstLine="397"/>
        <w:jc w:val="both"/>
      </w:pPr>
      <w:r>
        <w:rPr>
          <w:rFonts w:ascii="Arial" w:cs="Arial" w:eastAsia="Arial" w:hAnsi="Arial"/>
          <w:sz w:val="24"/>
          <w:szCs w:val="24"/>
        </w:rPr>
        <w:t xml:space="preserve">- в таможенный орган, производящий таможенное оформление, предоставлено подтверждение уполномоченного государственного органа в сфере социального развития о том, что данный товар относится к специализированным товарам для инвалидов;</w:t>
      </w:r>
    </w:p>
    <w:p>
      <w:pPr>
        <w:spacing w:after="120"/>
        <w:ind w:firstLine="397"/>
        <w:jc w:val="both"/>
      </w:pPr>
      <w:r>
        <w:rPr>
          <w:rFonts w:ascii="Arial" w:cs="Arial" w:eastAsia="Arial" w:hAnsi="Arial"/>
          <w:sz w:val="24"/>
          <w:szCs w:val="24"/>
        </w:rPr>
        <w:t xml:space="preserve">- получателем данных товаров является Республиканское учреждение протезно-ортопедических изделий Министерства труда, социального обеспечения и миграции Кыргызской Республики.».</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9 июля 2024 года № 51 (3604)</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u8hkaokvhi4czgobpod">
      <w:r>
        <w:rPr>
          <w:rFonts w:ascii="Arial" w:cs="Arial" w:eastAsia="Arial" w:hAnsi="Arial"/>
          <w:color w:val="132D3F"/>
          <w:sz w:val="16"/>
          <w:szCs w:val="16"/>
          <w:u w:val="single"/>
        </w:rPr>
        <w:t xml:space="preserve">dalil.kg/document/230010554</w:t>
      </w:r>
    </w:hyperlink>
  </w:p>
  <w:p>
    <w:pPr>
      <w:spacing w:after="0" w:before="40"/>
      <w:jc w:val="center"/>
    </w:pPr>
    <w:hyperlink w:history="1" r:id="rIdzqzkg7tkiv9efcobstd-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ixveabntbyxbmlykrfh" Type="http://schemas.openxmlformats.org/officeDocument/2006/relationships/hyperlink" Target="https://dalil.kg/document/111908#st_41" TargetMode="External"/><Relationship Id="rIdkrlq1v0ehhvn6skz52fnp" Type="http://schemas.openxmlformats.org/officeDocument/2006/relationships/hyperlink" Target="https://dalil.kg/document/112301#st_13" TargetMode="External"/><Relationship Id="rIdruulg79jxtfht1-takdxq" Type="http://schemas.openxmlformats.org/officeDocument/2006/relationships/hyperlink" Target="https://dalil.kg/document/112301#st_17" TargetMode="External"/><Relationship Id="rIdwcbpsvliprqiyqfuqh5y6" Type="http://schemas.openxmlformats.org/officeDocument/2006/relationships/hyperlink" Target="https://dalil.kg/document/157558" TargetMode="External"/><Relationship Id="rIdcjhojjlrrb_fzckqdyue1" Type="http://schemas.openxmlformats.org/officeDocument/2006/relationships/hyperlink" Target="https://dalil.kg/document/157560" TargetMode="External"/><Relationship Id="rIdvjvjosemj2gw4wmm6qob7" Type="http://schemas.openxmlformats.org/officeDocument/2006/relationships/hyperlink" Target="https://dalil.kg/document/157558" TargetMode="External"/><Relationship Id="rId_vifkx7zgdzcqxn3ouixn" Type="http://schemas.openxmlformats.org/officeDocument/2006/relationships/hyperlink" Target="https://dalil.kg/document/157560#p36" TargetMode="External"/><Relationship Id="rIdmdzumz0qhx6nkvgw7th_r" Type="http://schemas.openxmlformats.org/officeDocument/2006/relationships/hyperlink" Target="https://dalil.kg/document/157560#p38" TargetMode="External"/><Relationship Id="rIdewtrrkartvd6ehodby1eo" Type="http://schemas.openxmlformats.org/officeDocument/2006/relationships/hyperlink" Target="https://dalil.kg/document/157560#p38_1" TargetMode="External"/><Relationship Id="rId4hwe_s1xy-lx7np2gtkuh" Type="http://schemas.openxmlformats.org/officeDocument/2006/relationships/hyperlink" Target="https://dalil.kg/document/159091" TargetMode="External"/><Relationship Id="rIdylgp6ow2vxysozlhaanmb" Type="http://schemas.openxmlformats.org/officeDocument/2006/relationships/hyperlink" Target="https://dalil.kg/document/112340#st_289" TargetMode="External"/><Relationship Id="rIdegu4frmw9nnvg7boewdzr" Type="http://schemas.openxmlformats.org/officeDocument/2006/relationships/hyperlink" Target="https://dalil.kg/document/112340#st_297" TargetMode="External"/><Relationship Id="rId1z_5qvbj0fmntthh7uwf3" Type="http://schemas.openxmlformats.org/officeDocument/2006/relationships/hyperlink" Target="https://dalil.kg/document/112340#st_298" TargetMode="External"/><Relationship Id="rIdndxv6nec1knrb9-izkiji" Type="http://schemas.openxmlformats.org/officeDocument/2006/relationships/hyperlink" Target="https://dalil.kg/document/112340#st_299"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u8hkaokvhi4czgobpod" Type="http://schemas.openxmlformats.org/officeDocument/2006/relationships/hyperlink" Target="https://dalil.kg/document/230010554" TargetMode="External"/><Relationship Id="rIdzqzkg7tkiv9efcobstd-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2026-09-24T18:10:29.061Z</dcterms:created>
  <dcterms:modified xsi:type="dcterms:W3CDTF">2026-09-24T18:10:29.061Z</dcterms:modified>
</cp:coreProperties>
</file>

<file path=docProps/custom.xml><?xml version="1.0" encoding="utf-8"?>
<Properties xmlns="http://schemas.openxmlformats.org/officeDocument/2006/custom-properties" xmlns:vt="http://schemas.openxmlformats.org/officeDocument/2006/docPropsVTypes"/>
</file>