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360" w:before="200"/>
        <w:ind w:firstLine="397"/>
        <w:jc w:val="center"/>
      </w:pPr>
      <w:r>
        <w:rPr>
          <w:rFonts w:ascii="Arial" w:cs="Arial" w:eastAsia="Arial" w:hAnsi="Arial"/>
          <w:b/>
          <w:bCs/>
          <w:sz w:val="32"/>
          <w:szCs w:val="32"/>
        </w:rPr>
        <w:t xml:space="preserve">ПОСТАНОВЛЕНИЕ КАБИНЕТА МИНИСТРОВ КЫРГЫЗСКОЙ РЕСПУБЛИКИ</w:t>
      </w:r>
    </w:p>
    <w:p>
      <w:pPr>
        <w:spacing w:after="240"/>
        <w:jc w:val="both"/>
      </w:pPr>
      <w:r>
        <w:rPr>
          <w:rFonts w:ascii="Arial" w:cs="Arial" w:eastAsia="Arial" w:hAnsi="Arial"/>
          <w:sz w:val="24"/>
          <w:szCs w:val="24"/>
        </w:rPr>
        <w:t xml:space="preserve">от </w:t>
      </w:r>
      <w:r>
        <w:rPr>
          <w:rFonts w:ascii="Arial" w:cs="Arial" w:eastAsia="Arial" w:hAnsi="Arial"/>
          <w:sz w:val="24"/>
          <w:szCs w:val="24"/>
        </w:rPr>
        <w:t xml:space="preserve">28 февраля</w:t>
      </w:r>
      <w:r>
        <w:rPr>
          <w:rFonts w:ascii="Arial" w:cs="Arial" w:eastAsia="Arial" w:hAnsi="Arial"/>
          <w:sz w:val="24"/>
          <w:szCs w:val="24"/>
        </w:rPr>
        <w:t xml:space="preserve"> 202</w:t>
      </w:r>
      <w:r>
        <w:rPr>
          <w:rFonts w:ascii="Arial" w:cs="Arial" w:eastAsia="Arial" w:hAnsi="Arial"/>
          <w:sz w:val="24"/>
          <w:szCs w:val="24"/>
        </w:rPr>
        <w:t xml:space="preserve">4</w:t>
      </w:r>
      <w:r>
        <w:rPr>
          <w:rFonts w:ascii="Arial" w:cs="Arial" w:eastAsia="Arial" w:hAnsi="Arial"/>
          <w:sz w:val="24"/>
          <w:szCs w:val="24"/>
        </w:rPr>
        <w:t xml:space="preserve"> года № </w:t>
      </w:r>
      <w:r>
        <w:rPr>
          <w:rFonts w:ascii="Arial" w:cs="Arial" w:eastAsia="Arial" w:hAnsi="Arial"/>
          <w:sz w:val="24"/>
          <w:szCs w:val="24"/>
        </w:rPr>
        <w:t xml:space="preserve">88</w:t>
      </w:r>
    </w:p>
    <w:p>
      <w:pPr>
        <w:spacing w:after="480" w:before="200"/>
        <w:jc w:val="center"/>
      </w:pPr>
      <w:r>
        <w:rPr>
          <w:rFonts w:ascii="Arial" w:cs="Arial" w:eastAsia="Arial" w:hAnsi="Arial"/>
          <w:b/>
          <w:bCs/>
          <w:sz w:val="28"/>
          <w:szCs w:val="28"/>
        </w:rPr>
        <w:t xml:space="preserve">О внесении изменений в некоторые постановления Правительства Кыргызской Республики в сфере подтверждения соответствия продукции и аккредитации органов по оценке соответствия</w:t>
      </w:r>
    </w:p>
    <w:p>
      <w:pPr>
        <w:spacing w:after="120"/>
        <w:ind w:firstLine="397"/>
        <w:jc w:val="both"/>
      </w:pPr>
      <w:r>
        <w:rPr>
          <w:rFonts w:ascii="Arial" w:cs="Arial" w:eastAsia="Arial" w:hAnsi="Arial"/>
          <w:sz w:val="24"/>
          <w:szCs w:val="24"/>
        </w:rPr>
        <w:t xml:space="preserve">В целях дальнейшего принятия мер по гармонизации национального законодательства с нормативной правовой базой Евразийской экономической комиссии, в соответствии со статьями </w:t>
      </w:r>
      <w:hyperlink w:history="1" r:id="rIdhfjas44ewp3cu-xgpw-_l">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ffnlnutrkn4_v9bkqvgkp">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Внести в </w:t>
      </w:r>
      <w:hyperlink w:history="1" r:id="rIdeiewrhrjnyv48tue-snn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аккредитации органов по оценке соответствия в Кыргызской Республике» от 16 ноября 2006 года № 795 следующие изменения:</w:t>
      </w:r>
    </w:p>
    <w:p>
      <w:pPr>
        <w:spacing w:after="120"/>
        <w:ind w:firstLine="397"/>
        <w:jc w:val="both"/>
      </w:pPr>
      <w:r>
        <w:rPr>
          <w:rFonts w:ascii="Arial" w:cs="Arial" w:eastAsia="Arial" w:hAnsi="Arial"/>
          <w:sz w:val="24"/>
          <w:szCs w:val="24"/>
        </w:rPr>
        <w:t xml:space="preserve">- </w:t>
      </w:r>
      <w:hyperlink w:history="1" r:id="rIdi7xu3lbl__76s0xkrhjqm">
        <w:r>
          <w:rPr>
            <w:rFonts w:ascii="Arial" w:cs="Arial" w:eastAsia="Arial" w:hAnsi="Arial"/>
            <w:color w:val="1D4ED8"/>
            <w:sz w:val="24"/>
            <w:szCs w:val="24"/>
            <w:u w:val="single"/>
          </w:rPr>
          <w:t xml:space="preserve">пункт 6</w:t>
        </w:r>
      </w:hyperlink>
      <w:r>
        <w:rPr>
          <w:rFonts w:ascii="Arial" w:cs="Arial" w:eastAsia="Arial" w:hAnsi="Arial"/>
          <w:sz w:val="24"/>
          <w:szCs w:val="24"/>
        </w:rPr>
        <w:t xml:space="preserve"> дополнить абзацем следующего содержания:</w:t>
      </w:r>
    </w:p>
    <w:p>
      <w:pPr>
        <w:spacing w:after="120"/>
        <w:ind w:firstLine="397"/>
        <w:jc w:val="both"/>
      </w:pPr>
      <w:r>
        <w:rPr>
          <w:rFonts w:ascii="Arial" w:cs="Arial" w:eastAsia="Arial" w:hAnsi="Arial"/>
          <w:sz w:val="24"/>
          <w:szCs w:val="24"/>
        </w:rPr>
        <w:t xml:space="preserve">«- </w:t>
      </w:r>
      <w:hyperlink w:history="1" r:id="rIdvqjtokujc-eksntehkcue">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и основаниях принятия национальным органом по аккредитации решений о включении/исключении аккредитованных органов по оценке соответствия в национальную часть единого реестра органов по оценке соответствия Евразийского экономического союза.»;</w:t>
      </w:r>
    </w:p>
    <w:p>
      <w:pPr>
        <w:spacing w:after="120"/>
        <w:ind w:firstLine="397"/>
        <w:jc w:val="both"/>
      </w:pPr>
      <w:r>
        <w:rPr>
          <w:rFonts w:ascii="Arial" w:cs="Arial" w:eastAsia="Arial" w:hAnsi="Arial"/>
          <w:sz w:val="24"/>
          <w:szCs w:val="24"/>
        </w:rPr>
        <w:t xml:space="preserve">- дополнить </w:t>
      </w:r>
      <w:hyperlink w:history="1" r:id="rIdcj5jfvy_i6r-unckxxisr">
        <w:r>
          <w:rPr>
            <w:rFonts w:ascii="Arial" w:cs="Arial" w:eastAsia="Arial" w:hAnsi="Arial"/>
            <w:color w:val="1D4ED8"/>
            <w:sz w:val="24"/>
            <w:szCs w:val="24"/>
            <w:u w:val="single"/>
          </w:rPr>
          <w:t xml:space="preserve">приложением</w:t>
        </w:r>
      </w:hyperlink>
      <w:r>
        <w:rPr>
          <w:rFonts w:ascii="Arial" w:cs="Arial" w:eastAsia="Arial" w:hAnsi="Arial"/>
          <w:sz w:val="24"/>
          <w:szCs w:val="24"/>
        </w:rPr>
        <w:t xml:space="preserve"> в редакции согласно </w:t>
      </w:r>
      <w:hyperlink w:history="1" r:id="rIdvq7dnvwgkbxmzkelh0akc">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 к настоящему </w:t>
      </w:r>
      <w:hyperlink w:history="1" r:id="rIdshvkads-fllxob92yaahe">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2. Внести в </w:t>
      </w:r>
      <w:hyperlink w:history="1" r:id="rIds7mazp8b_6bcwxzsskuk1">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обязательном подтверждении соответствия продукции в форме принятия декларации о соответствии» от 28 января 2019 года № 20 следующие изменения:</w:t>
      </w:r>
    </w:p>
    <w:p>
      <w:pPr>
        <w:spacing w:after="120"/>
        <w:ind w:firstLine="397"/>
        <w:jc w:val="both"/>
      </w:pPr>
      <w:r>
        <w:rPr>
          <w:rFonts w:ascii="Arial" w:cs="Arial" w:eastAsia="Arial" w:hAnsi="Arial"/>
          <w:sz w:val="24"/>
          <w:szCs w:val="24"/>
        </w:rPr>
        <w:t xml:space="preserve">1) </w:t>
      </w:r>
      <w:hyperlink w:history="1" r:id="rIdvbt_nkeikeafwrie6yrdk">
        <w:r>
          <w:rPr>
            <w:rFonts w:ascii="Arial" w:cs="Arial" w:eastAsia="Arial" w:hAnsi="Arial"/>
            <w:color w:val="1D4ED8"/>
            <w:sz w:val="24"/>
            <w:szCs w:val="24"/>
            <w:u w:val="single"/>
          </w:rPr>
          <w:t xml:space="preserve">пункт 4</w:t>
        </w:r>
      </w:hyperlink>
      <w:r>
        <w:rPr>
          <w:rFonts w:ascii="Arial" w:cs="Arial" w:eastAsia="Arial" w:hAnsi="Arial"/>
          <w:sz w:val="24"/>
          <w:szCs w:val="24"/>
        </w:rPr>
        <w:t xml:space="preserve"> изложить в следующей редакции:</w:t>
      </w:r>
    </w:p>
    <w:p>
      <w:pPr>
        <w:spacing w:after="120"/>
        <w:ind w:firstLine="397"/>
        <w:jc w:val="both"/>
      </w:pPr>
      <w:r>
        <w:rPr>
          <w:rFonts w:ascii="Arial" w:cs="Arial" w:eastAsia="Arial" w:hAnsi="Arial"/>
          <w:sz w:val="24"/>
          <w:szCs w:val="24"/>
        </w:rPr>
        <w:t xml:space="preserve">«4. Установить, что регистрация деклараций о соответствии требованиям технических регламентов Евразийского экономического союза (Таможенного союза) единой формы осуществляется уполномоченными органами в пределах компетенции.»;</w:t>
      </w:r>
    </w:p>
    <w:p>
      <w:pPr>
        <w:spacing w:after="120"/>
        <w:ind w:firstLine="397"/>
        <w:jc w:val="both"/>
      </w:pPr>
      <w:r>
        <w:rPr>
          <w:rFonts w:ascii="Arial" w:cs="Arial" w:eastAsia="Arial" w:hAnsi="Arial"/>
          <w:sz w:val="24"/>
          <w:szCs w:val="24"/>
        </w:rPr>
        <w:t xml:space="preserve">2) дополнить пунктами </w:t>
      </w:r>
      <w:hyperlink w:history="1" r:id="rId7smxtxjnhn54wu1bjzyro">
        <w:r>
          <w:rPr>
            <w:rFonts w:ascii="Arial" w:cs="Arial" w:eastAsia="Arial" w:hAnsi="Arial"/>
            <w:color w:val="1D4ED8"/>
            <w:sz w:val="24"/>
            <w:szCs w:val="24"/>
            <w:u w:val="single"/>
          </w:rPr>
          <w:t xml:space="preserve">4</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w:t>
      </w:r>
      <w:hyperlink w:history="1" r:id="rIdgscmjxtzy_q_jtvjeeg_e">
        <w:r>
          <w:rPr>
            <w:rFonts w:ascii="Arial" w:cs="Arial" w:eastAsia="Arial" w:hAnsi="Arial"/>
            <w:color w:val="1D4ED8"/>
            <w:sz w:val="24"/>
            <w:szCs w:val="24"/>
            <w:u w:val="single"/>
          </w:rPr>
          <w:t xml:space="preserve">4</w:t>
        </w:r>
        <w:r>
          <w:rPr>
            <w:rFonts w:ascii="Arial" w:cs="Arial" w:eastAsia="Arial" w:hAnsi="Arial"/>
            <w:color w:val="1D4ED8"/>
            <w:sz w:val="24"/>
            <w:szCs w:val="24"/>
            <w:u w:val="single"/>
          </w:rPr>
          <w:t xml:space="preserve">2</w:t>
        </w:r>
      </w:hyperlink>
      <w:r>
        <w:rPr>
          <w:rFonts w:ascii="Arial" w:cs="Arial" w:eastAsia="Arial" w:hAnsi="Arial"/>
          <w:sz w:val="24"/>
          <w:szCs w:val="24"/>
        </w:rPr>
        <w:t xml:space="preserve"> следующего содержания:</w:t>
      </w:r>
    </w:p>
    <w:p>
      <w:pPr>
        <w:spacing w:after="120"/>
        <w:ind w:firstLine="397"/>
        <w:jc w:val="both"/>
      </w:pPr>
      <w:r>
        <w:rPr>
          <w:rFonts w:ascii="Arial" w:cs="Arial" w:eastAsia="Arial" w:hAnsi="Arial"/>
          <w:sz w:val="24"/>
          <w:szCs w:val="24"/>
        </w:rPr>
        <w:t xml:space="preserve">«4</w:t>
      </w:r>
      <w:r>
        <w:rPr>
          <w:rFonts w:ascii="Arial" w:cs="Arial" w:eastAsia="Arial" w:hAnsi="Arial"/>
          <w:sz w:val="24"/>
          <w:szCs w:val="24"/>
        </w:rPr>
        <w:t xml:space="preserve">1</w:t>
      </w:r>
      <w:r>
        <w:rPr>
          <w:rFonts w:ascii="Arial" w:cs="Arial" w:eastAsia="Arial" w:hAnsi="Arial"/>
          <w:sz w:val="24"/>
          <w:szCs w:val="24"/>
        </w:rPr>
        <w:t xml:space="preserve">. Установить, что регистрацию деклараций о соответствии продукции дорожно-строительного назначения, строительных материалов, изделий и конструкций требованиям технических регламентов Евразийского экономического союза (Таможенного союза) единой формы осуществляется аккредитованными органами по сертификации, включенными в Единый реестр органов по оценке соответствия Евразийского экономического союза, область аккредитации которых распространяется на декларируемую продукцию.</w:t>
      </w:r>
    </w:p>
    <w:p>
      <w:pPr>
        <w:spacing w:after="120"/>
        <w:ind w:firstLine="397"/>
        <w:jc w:val="both"/>
      </w:pPr>
      <w:r>
        <w:rPr>
          <w:rFonts w:ascii="Arial" w:cs="Arial" w:eastAsia="Arial" w:hAnsi="Arial"/>
          <w:sz w:val="24"/>
          <w:szCs w:val="24"/>
        </w:rPr>
        <w:t xml:space="preserve">4</w:t>
      </w:r>
      <w:r>
        <w:rPr>
          <w:rFonts w:ascii="Arial" w:cs="Arial" w:eastAsia="Arial" w:hAnsi="Arial"/>
          <w:sz w:val="24"/>
          <w:szCs w:val="24"/>
        </w:rPr>
        <w:t xml:space="preserve">2</w:t>
      </w:r>
      <w:r>
        <w:rPr>
          <w:rFonts w:ascii="Arial" w:cs="Arial" w:eastAsia="Arial" w:hAnsi="Arial"/>
          <w:sz w:val="24"/>
          <w:szCs w:val="24"/>
        </w:rPr>
        <w:t xml:space="preserve">. Установить, что регистрацию деклараций о соответствии технических средств связи требованиям технических регламентов Евразийского экономического союза (Таможенного союза) единой формы осуществляет аккредитованный государственный орган по сертификации, включенный в Единый реестр органов по оценке соответствия Евразийского экономического союза, в соответствии с областью аккредитации.»;</w:t>
      </w:r>
    </w:p>
    <w:p>
      <w:pPr>
        <w:spacing w:after="120"/>
        <w:ind w:firstLine="397"/>
        <w:jc w:val="both"/>
      </w:pPr>
      <w:r>
        <w:rPr>
          <w:rFonts w:ascii="Arial" w:cs="Arial" w:eastAsia="Arial" w:hAnsi="Arial"/>
          <w:sz w:val="24"/>
          <w:szCs w:val="24"/>
        </w:rPr>
        <w:t xml:space="preserve">3) в </w:t>
      </w:r>
      <w:hyperlink w:history="1" r:id="rIdv2rrppxeglix5yl0su3mf">
        <w:r>
          <w:rPr>
            <w:rFonts w:ascii="Arial" w:cs="Arial" w:eastAsia="Arial" w:hAnsi="Arial"/>
            <w:color w:val="1D4ED8"/>
            <w:sz w:val="24"/>
            <w:szCs w:val="24"/>
            <w:u w:val="single"/>
          </w:rPr>
          <w:t xml:space="preserve">пункте 8</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абзац первый изложить в следующей редакции:</w:t>
      </w:r>
    </w:p>
    <w:p>
      <w:pPr>
        <w:spacing w:after="120"/>
        <w:ind w:firstLine="397"/>
        <w:jc w:val="both"/>
      </w:pPr>
      <w:r>
        <w:rPr>
          <w:rFonts w:ascii="Arial" w:cs="Arial" w:eastAsia="Arial" w:hAnsi="Arial"/>
          <w:sz w:val="24"/>
          <w:szCs w:val="24"/>
        </w:rPr>
        <w:t xml:space="preserve">«8. Уполномоченному органу, аккредитованным органам по сертификации продукции строительного назначения или технических средств связи:»;</w:t>
      </w:r>
    </w:p>
    <w:p>
      <w:pPr>
        <w:spacing w:after="120"/>
        <w:ind w:firstLine="397"/>
        <w:jc w:val="both"/>
      </w:pPr>
      <w:r>
        <w:rPr>
          <w:rFonts w:ascii="Arial" w:cs="Arial" w:eastAsia="Arial" w:hAnsi="Arial"/>
          <w:sz w:val="24"/>
          <w:szCs w:val="24"/>
        </w:rPr>
        <w:t xml:space="preserve">- подпункт 1 изложить в следующей редакции:</w:t>
      </w:r>
    </w:p>
    <w:p>
      <w:pPr>
        <w:spacing w:after="120"/>
        <w:ind w:firstLine="397"/>
        <w:jc w:val="both"/>
      </w:pPr>
      <w:r>
        <w:rPr>
          <w:rFonts w:ascii="Arial" w:cs="Arial" w:eastAsia="Arial" w:hAnsi="Arial"/>
          <w:sz w:val="24"/>
          <w:szCs w:val="24"/>
        </w:rPr>
        <w:t xml:space="preserve">«1) осуществлять регистрацию деклараций о соответствии требованиям технических регламентов Евразийского экономического союза (Таможенного союза) единой формы согласно настоящему Положению в пределах своей компетенции;»;</w:t>
      </w:r>
    </w:p>
    <w:p>
      <w:pPr>
        <w:spacing w:after="120"/>
        <w:ind w:firstLine="397"/>
        <w:jc w:val="both"/>
      </w:pPr>
      <w:r>
        <w:rPr>
          <w:rFonts w:ascii="Arial" w:cs="Arial" w:eastAsia="Arial" w:hAnsi="Arial"/>
          <w:sz w:val="24"/>
          <w:szCs w:val="24"/>
        </w:rPr>
        <w:t xml:space="preserve">4) в </w:t>
      </w:r>
      <w:hyperlink w:history="1" r:id="rIdd-nynaaoxf-f874p2uurk">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порядке принятия декларации о соответствии требованиям технических регламентов Евразийского экономического союза (Таможенного союза) единой формы, утвержденном вышеуказанным </w:t>
      </w:r>
      <w:hyperlink w:history="1" r:id="rIdrw_fbtorroohg5srw_eb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t>
      </w:r>
      <w:hyperlink w:history="1" r:id="rIdmhiqq8ybzqpcjkh-condb">
        <w:r>
          <w:rPr>
            <w:rFonts w:ascii="Arial" w:cs="Arial" w:eastAsia="Arial" w:hAnsi="Arial"/>
            <w:color w:val="1D4ED8"/>
            <w:sz w:val="24"/>
            <w:szCs w:val="24"/>
            <w:u w:val="single"/>
          </w:rPr>
          <w:t xml:space="preserve">пункт 2</w:t>
        </w:r>
      </w:hyperlink>
      <w:r>
        <w:rPr>
          <w:rFonts w:ascii="Arial" w:cs="Arial" w:eastAsia="Arial" w:hAnsi="Arial"/>
          <w:sz w:val="24"/>
          <w:szCs w:val="24"/>
        </w:rPr>
        <w:t xml:space="preserve"> изложить в следующей редакции:</w:t>
      </w:r>
    </w:p>
    <w:p>
      <w:pPr>
        <w:spacing w:after="120"/>
        <w:ind w:firstLine="397"/>
        <w:jc w:val="both"/>
      </w:pPr>
      <w:r>
        <w:rPr>
          <w:rFonts w:ascii="Arial" w:cs="Arial" w:eastAsia="Arial" w:hAnsi="Arial"/>
          <w:sz w:val="24"/>
          <w:szCs w:val="24"/>
        </w:rPr>
        <w:t xml:space="preserve">«2. Для регистрации декларации о соответствии заявитель, в зависимости от вида продукции, представляет в уполномоченный орган или аккредитованные органы по сертификации продукции строительного назначения или технических средств связи декларацию о соответствии и прилагаемые к ней документы и сведения, предусмотренные </w:t>
      </w:r>
      <w:hyperlink w:history="1" r:id="rIdjvv4gki1fbe9hsa7e5zou">
        <w:r>
          <w:rPr>
            <w:rFonts w:ascii="Arial" w:cs="Arial" w:eastAsia="Arial" w:hAnsi="Arial"/>
            <w:color w:val="1D4ED8"/>
            <w:sz w:val="24"/>
            <w:szCs w:val="24"/>
            <w:u w:val="single"/>
          </w:rPr>
          <w:t xml:space="preserve">пунктом 3</w:t>
        </w:r>
      </w:hyperlink>
      <w:r>
        <w:rPr>
          <w:rFonts w:ascii="Arial" w:cs="Arial" w:eastAsia="Arial" w:hAnsi="Arial"/>
          <w:sz w:val="24"/>
          <w:szCs w:val="24"/>
        </w:rPr>
        <w:t xml:space="preserve"> настоящего Положения, в виде документов на бумажном носителе, лично, заказным почтовым отправлением с описью вложения и уведомлением о вручении либо в виде электронных документов с использованием информационно-телекоммуникационной сети Интернет.»;</w:t>
      </w:r>
    </w:p>
    <w:p>
      <w:pPr>
        <w:spacing w:after="120"/>
        <w:ind w:firstLine="397"/>
        <w:jc w:val="both"/>
      </w:pPr>
      <w:r>
        <w:rPr>
          <w:rFonts w:ascii="Arial" w:cs="Arial" w:eastAsia="Arial" w:hAnsi="Arial"/>
          <w:sz w:val="24"/>
          <w:szCs w:val="24"/>
        </w:rPr>
        <w:t xml:space="preserve">- в абзаце первом </w:t>
      </w:r>
      <w:hyperlink w:history="1" r:id="rIdbkn4ghxpt3yjcfqlghzuh">
        <w:r>
          <w:rPr>
            <w:rFonts w:ascii="Arial" w:cs="Arial" w:eastAsia="Arial" w:hAnsi="Arial"/>
            <w:color w:val="1D4ED8"/>
            <w:sz w:val="24"/>
            <w:szCs w:val="24"/>
            <w:u w:val="single"/>
          </w:rPr>
          <w:t xml:space="preserve">пункта 4</w:t>
        </w:r>
      </w:hyperlink>
      <w:r>
        <w:rPr>
          <w:rFonts w:ascii="Arial" w:cs="Arial" w:eastAsia="Arial" w:hAnsi="Arial"/>
          <w:sz w:val="24"/>
          <w:szCs w:val="24"/>
        </w:rPr>
        <w:t xml:space="preserve">, </w:t>
      </w:r>
      <w:hyperlink w:history="1" r:id="rIdum8ov3z3y5tza0ysaqxk6">
        <w:r>
          <w:rPr>
            <w:rFonts w:ascii="Arial" w:cs="Arial" w:eastAsia="Arial" w:hAnsi="Arial"/>
            <w:color w:val="1D4ED8"/>
            <w:sz w:val="24"/>
            <w:szCs w:val="24"/>
            <w:u w:val="single"/>
          </w:rPr>
          <w:t xml:space="preserve">пункте 5</w:t>
        </w:r>
      </w:hyperlink>
      <w:r>
        <w:rPr>
          <w:rFonts w:ascii="Arial" w:cs="Arial" w:eastAsia="Arial" w:hAnsi="Arial"/>
          <w:sz w:val="24"/>
          <w:szCs w:val="24"/>
        </w:rPr>
        <w:t xml:space="preserve"> слова «Уполномоченный орган или аккредитованный орган по сертификации», «уполномоченный орган или аккредитованный орган по сертификации» заменить соответственно словами «Уполномоченный орган или аккредитованный орган по сертификации продукции строительного назначения или технических средств связи»;</w:t>
      </w:r>
    </w:p>
    <w:p>
      <w:pPr>
        <w:spacing w:after="120"/>
        <w:ind w:firstLine="397"/>
        <w:jc w:val="both"/>
      </w:pPr>
      <w:r>
        <w:rPr>
          <w:rFonts w:ascii="Arial" w:cs="Arial" w:eastAsia="Arial" w:hAnsi="Arial"/>
          <w:sz w:val="24"/>
          <w:szCs w:val="24"/>
        </w:rPr>
        <w:t xml:space="preserve">- в абзаце втором </w:t>
      </w:r>
      <w:hyperlink w:history="1" r:id="rId43xubm10dk3h6mx7fjzhb">
        <w:r>
          <w:rPr>
            <w:rFonts w:ascii="Arial" w:cs="Arial" w:eastAsia="Arial" w:hAnsi="Arial"/>
            <w:color w:val="1D4ED8"/>
            <w:sz w:val="24"/>
            <w:szCs w:val="24"/>
            <w:u w:val="single"/>
          </w:rPr>
          <w:t xml:space="preserve">пункта 9</w:t>
        </w:r>
      </w:hyperlink>
      <w:r>
        <w:rPr>
          <w:rFonts w:ascii="Arial" w:cs="Arial" w:eastAsia="Arial" w:hAnsi="Arial"/>
          <w:sz w:val="24"/>
          <w:szCs w:val="24"/>
        </w:rPr>
        <w:t xml:space="preserve"> слово «продукции» заменить словами «продукции строительного назначения или технических средств связи»;</w:t>
      </w:r>
    </w:p>
    <w:p>
      <w:pPr>
        <w:spacing w:after="120"/>
        <w:ind w:firstLine="397"/>
        <w:jc w:val="both"/>
      </w:pPr>
      <w:r>
        <w:rPr>
          <w:rFonts w:ascii="Arial" w:cs="Arial" w:eastAsia="Arial" w:hAnsi="Arial"/>
          <w:sz w:val="24"/>
          <w:szCs w:val="24"/>
        </w:rPr>
        <w:t xml:space="preserve">- в абзаце первом </w:t>
      </w:r>
      <w:hyperlink w:history="1" r:id="rId-ivltgpzgl1byipjxizdn">
        <w:r>
          <w:rPr>
            <w:rFonts w:ascii="Arial" w:cs="Arial" w:eastAsia="Arial" w:hAnsi="Arial"/>
            <w:color w:val="1D4ED8"/>
            <w:sz w:val="24"/>
            <w:szCs w:val="24"/>
            <w:u w:val="single"/>
          </w:rPr>
          <w:t xml:space="preserve">пункта 12</w:t>
        </w:r>
      </w:hyperlink>
      <w:r>
        <w:rPr>
          <w:rFonts w:ascii="Arial" w:cs="Arial" w:eastAsia="Arial" w:hAnsi="Arial"/>
          <w:sz w:val="24"/>
          <w:szCs w:val="24"/>
        </w:rPr>
        <w:t xml:space="preserve"> слово «сертификации» заменить словами «сертификации продукции строительного назначения или технических средств связи»;</w:t>
      </w:r>
    </w:p>
    <w:p>
      <w:pPr>
        <w:spacing w:after="120"/>
        <w:ind w:firstLine="397"/>
        <w:jc w:val="both"/>
      </w:pPr>
      <w:r>
        <w:rPr>
          <w:rFonts w:ascii="Arial" w:cs="Arial" w:eastAsia="Arial" w:hAnsi="Arial"/>
          <w:sz w:val="24"/>
          <w:szCs w:val="24"/>
        </w:rPr>
        <w:t xml:space="preserve">- в пунктах </w:t>
      </w:r>
      <w:hyperlink w:history="1" r:id="rIdxuny8ei4e9yqqizgafgbx">
        <w:r>
          <w:rPr>
            <w:rFonts w:ascii="Arial" w:cs="Arial" w:eastAsia="Arial" w:hAnsi="Arial"/>
            <w:color w:val="1D4ED8"/>
            <w:sz w:val="24"/>
            <w:szCs w:val="24"/>
            <w:u w:val="single"/>
          </w:rPr>
          <w:t xml:space="preserve">15</w:t>
        </w:r>
      </w:hyperlink>
      <w:r>
        <w:rPr>
          <w:rFonts w:ascii="Arial" w:cs="Arial" w:eastAsia="Arial" w:hAnsi="Arial"/>
          <w:sz w:val="24"/>
          <w:szCs w:val="24"/>
        </w:rPr>
        <w:t xml:space="preserve">, </w:t>
      </w:r>
      <w:hyperlink w:history="1" r:id="rIduyauyro7zxnndvntuhhv6">
        <w:r>
          <w:rPr>
            <w:rFonts w:ascii="Arial" w:cs="Arial" w:eastAsia="Arial" w:hAnsi="Arial"/>
            <w:color w:val="1D4ED8"/>
            <w:sz w:val="24"/>
            <w:szCs w:val="24"/>
            <w:u w:val="single"/>
          </w:rPr>
          <w:t xml:space="preserve">16</w:t>
        </w:r>
      </w:hyperlink>
      <w:r>
        <w:rPr>
          <w:rFonts w:ascii="Arial" w:cs="Arial" w:eastAsia="Arial" w:hAnsi="Arial"/>
          <w:sz w:val="24"/>
          <w:szCs w:val="24"/>
        </w:rPr>
        <w:t xml:space="preserve">, </w:t>
      </w:r>
      <w:hyperlink w:history="1" r:id="rIdlubtoj9crzt8l7p7k5cmt">
        <w:r>
          <w:rPr>
            <w:rFonts w:ascii="Arial" w:cs="Arial" w:eastAsia="Arial" w:hAnsi="Arial"/>
            <w:color w:val="1D4ED8"/>
            <w:sz w:val="24"/>
            <w:szCs w:val="24"/>
            <w:u w:val="single"/>
          </w:rPr>
          <w:t xml:space="preserve">17</w:t>
        </w:r>
      </w:hyperlink>
      <w:r>
        <w:rPr>
          <w:rFonts w:ascii="Arial" w:cs="Arial" w:eastAsia="Arial" w:hAnsi="Arial"/>
          <w:sz w:val="24"/>
          <w:szCs w:val="24"/>
        </w:rPr>
        <w:t xml:space="preserve">, абзаце первом </w:t>
      </w:r>
      <w:hyperlink w:history="1" r:id="rId6yzaevnyierbedtxlrtdd">
        <w:r>
          <w:rPr>
            <w:rFonts w:ascii="Arial" w:cs="Arial" w:eastAsia="Arial" w:hAnsi="Arial"/>
            <w:color w:val="1D4ED8"/>
            <w:sz w:val="24"/>
            <w:szCs w:val="24"/>
            <w:u w:val="single"/>
          </w:rPr>
          <w:t xml:space="preserve">пункта 19</w:t>
        </w:r>
      </w:hyperlink>
      <w:r>
        <w:rPr>
          <w:rFonts w:ascii="Arial" w:cs="Arial" w:eastAsia="Arial" w:hAnsi="Arial"/>
          <w:sz w:val="24"/>
          <w:szCs w:val="24"/>
        </w:rPr>
        <w:t xml:space="preserve"> слово «сертификации» заменить словами «сертификации продукции строительного назначения или технических средств связи».</w:t>
      </w:r>
    </w:p>
    <w:p>
      <w:pPr>
        <w:spacing w:after="120"/>
        <w:ind w:firstLine="397"/>
        <w:jc w:val="both"/>
      </w:pPr>
      <w:r>
        <w:rPr>
          <w:rFonts w:ascii="Arial" w:cs="Arial" w:eastAsia="Arial" w:hAnsi="Arial"/>
          <w:sz w:val="24"/>
          <w:szCs w:val="24"/>
        </w:rPr>
        <w:t xml:space="preserve">2. Кыргызскому центру аккредитации при Министерстве экономики и коммерции Кыргызской Республики и Центру по стандартизации и метрологии при Министерстве экономики и коммерции Кыргызской Республики в месячный срок привести свои акты в соответствие с настоящим постановлением.</w:t>
      </w:r>
    </w:p>
    <w:p>
      <w:pPr>
        <w:spacing w:after="120"/>
        <w:ind w:firstLine="397"/>
        <w:jc w:val="both"/>
      </w:pPr>
      <w:r>
        <w:rPr>
          <w:rFonts w:ascii="Arial" w:cs="Arial" w:eastAsia="Arial" w:hAnsi="Arial"/>
          <w:sz w:val="24"/>
          <w:szCs w:val="24"/>
        </w:rPr>
        <w:t xml:space="preserve">3. Аккредитованным органам по сертификации продукции, включенным в национальную часть единого реестра органов по оценке соответствия Евразийского экономического союза, в месячный срок привести процедуры по подтверждению соответствия и области аккредитации в соответствие с настоящим постановлением.</w:t>
      </w:r>
    </w:p>
    <w:p>
      <w:pPr>
        <w:spacing w:after="120"/>
        <w:ind w:firstLine="397"/>
        <w:jc w:val="both"/>
      </w:pPr>
      <w:r>
        <w:rPr>
          <w:rFonts w:ascii="Arial" w:cs="Arial" w:eastAsia="Arial" w:hAnsi="Arial"/>
          <w:sz w:val="24"/>
          <w:szCs w:val="24"/>
        </w:rPr>
        <w:t xml:space="preserve">4. Настоящее постановление вступает в силу по истечении пятнадцати дней со дня официального опубликования.</w:t>
      </w:r>
    </w:p>
    <w:p>
      <w:pPr>
        <w:spacing w:after="120"/>
        <w:ind w:firstLine="397"/>
        <w:jc w:val="both"/>
      </w:pPr>
      <w:r>
        <w:rPr>
          <w:rFonts w:ascii="Arial" w:cs="Arial" w:eastAsia="Arial" w:hAnsi="Arial"/>
          <w:i/>
          <w:iCs/>
          <w:sz w:val="24"/>
          <w:szCs w:val="24"/>
        </w:rPr>
        <w:t xml:space="preserve">Опубликовано в официальной государственной газете «Эркин-Тоо» от 5 марта 2024 года № 18 (3571)</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sz w:val="24"/>
          <w:szCs w:val="24"/>
        </w:rPr>
        <w:t xml:space="preserve">А.У. Жапаров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w:t>
      </w:r>
      <w:hyperlink w:history="1" r:id="rIdqbw-wcxa9a4bp4enz5_xa">
        <w:r>
          <w:rPr>
            <w:rFonts w:ascii="Arial" w:cs="Arial" w:eastAsia="Arial" w:hAnsi="Arial"/>
            <w:color w:val="1D4ED8"/>
            <w:sz w:val="24"/>
            <w:szCs w:val="24"/>
            <w:u w:val="single"/>
          </w:rPr>
          <w:t xml:space="preserve">Приложение</w:t>
        </w:r>
      </w:hyperlink>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Положение</w:t>
      </w:r>
    </w:p>
    <w:p>
      <w:pPr>
        <w:spacing w:after="240" w:before="200"/>
        <w:jc w:val="center"/>
      </w:pPr>
      <w:r>
        <w:rPr>
          <w:rFonts w:ascii="Arial" w:cs="Arial" w:eastAsia="Arial" w:hAnsi="Arial"/>
          <w:b/>
          <w:bCs/>
          <w:sz w:val="32"/>
          <w:szCs w:val="32"/>
        </w:rPr>
        <w:t xml:space="preserve">о порядке и основаниях принятия национальным </w:t>
      </w:r>
    </w:p>
    <w:p>
      <w:pPr>
        <w:spacing w:after="240" w:before="200"/>
        <w:jc w:val="center"/>
      </w:pPr>
      <w:r>
        <w:rPr>
          <w:rFonts w:ascii="Arial" w:cs="Arial" w:eastAsia="Arial" w:hAnsi="Arial"/>
          <w:b/>
          <w:bCs/>
          <w:sz w:val="32"/>
          <w:szCs w:val="32"/>
        </w:rPr>
        <w:t xml:space="preserve">органом по аккредитации решений </w:t>
      </w:r>
    </w:p>
    <w:p>
      <w:pPr>
        <w:spacing w:after="240" w:before="200"/>
        <w:jc w:val="center"/>
      </w:pPr>
      <w:r>
        <w:rPr>
          <w:rFonts w:ascii="Arial" w:cs="Arial" w:eastAsia="Arial" w:hAnsi="Arial"/>
          <w:b/>
          <w:bCs/>
          <w:sz w:val="32"/>
          <w:szCs w:val="32"/>
        </w:rPr>
        <w:t xml:space="preserve">о включении/исключении аккредитованных </w:t>
      </w:r>
    </w:p>
    <w:p>
      <w:pPr>
        <w:spacing w:after="240" w:before="200"/>
        <w:jc w:val="center"/>
      </w:pPr>
      <w:r>
        <w:rPr>
          <w:rFonts w:ascii="Arial" w:cs="Arial" w:eastAsia="Arial" w:hAnsi="Arial"/>
          <w:b/>
          <w:bCs/>
          <w:sz w:val="32"/>
          <w:szCs w:val="32"/>
        </w:rPr>
        <w:t xml:space="preserve">органов по оценке соответствия в национальную </w:t>
      </w:r>
    </w:p>
    <w:p>
      <w:pPr>
        <w:spacing w:after="240" w:before="200"/>
        <w:jc w:val="center"/>
      </w:pPr>
      <w:r>
        <w:rPr>
          <w:rFonts w:ascii="Arial" w:cs="Arial" w:eastAsia="Arial" w:hAnsi="Arial"/>
          <w:b/>
          <w:bCs/>
          <w:sz w:val="32"/>
          <w:szCs w:val="32"/>
        </w:rPr>
        <w:t xml:space="preserve">часть единого реестра органов по оценке </w:t>
      </w:r>
    </w:p>
    <w:p>
      <w:pPr>
        <w:spacing w:after="240" w:before="200"/>
        <w:jc w:val="center"/>
      </w:pPr>
      <w:r>
        <w:rPr>
          <w:rFonts w:ascii="Arial" w:cs="Arial" w:eastAsia="Arial" w:hAnsi="Arial"/>
          <w:b/>
          <w:bCs/>
          <w:sz w:val="32"/>
          <w:szCs w:val="32"/>
        </w:rPr>
        <w:t xml:space="preserve">соответствия Евразийского экономического союза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Настоящее Положение устанавливает правила и основания принятия национальным органом по аккредитации решений о включении юридических лиц, аккредитованных в национальной системе аккредитации, в национальную часть Единого реестра органов по оценке соответствия Евразийского экономического союза (далее - Единый реестр) и об исключении аккредитованных органов по оценке соответствия из Единого реестра.</w:t>
      </w:r>
    </w:p>
    <w:p>
      <w:pPr>
        <w:spacing w:after="120"/>
        <w:ind w:firstLine="397"/>
        <w:jc w:val="both"/>
      </w:pPr>
      <w:r>
        <w:rPr>
          <w:rFonts w:ascii="Arial" w:cs="Arial" w:eastAsia="Arial" w:hAnsi="Arial"/>
          <w:sz w:val="24"/>
          <w:szCs w:val="24"/>
        </w:rPr>
        <w:t xml:space="preserve">2. Единый реестр состоит из национальных частей, формирование и ведение которых обеспечивают уполномоченные органы государств-членов ЕАЭС.</w:t>
      </w:r>
    </w:p>
    <w:p>
      <w:pPr>
        <w:spacing w:after="120"/>
        <w:ind w:firstLine="397"/>
        <w:jc w:val="both"/>
      </w:pPr>
      <w:r>
        <w:rPr>
          <w:rFonts w:ascii="Arial" w:cs="Arial" w:eastAsia="Arial" w:hAnsi="Arial"/>
          <w:sz w:val="24"/>
          <w:szCs w:val="24"/>
        </w:rPr>
        <w:t xml:space="preserve">Национальные части Единого реестра ЕАЭС состоят из разделов, содержащих сведения:</w:t>
      </w:r>
    </w:p>
    <w:p>
      <w:pPr>
        <w:spacing w:after="120"/>
        <w:ind w:firstLine="397"/>
        <w:jc w:val="both"/>
      </w:pPr>
      <w:r>
        <w:rPr>
          <w:rFonts w:ascii="Arial" w:cs="Arial" w:eastAsia="Arial" w:hAnsi="Arial"/>
          <w:sz w:val="24"/>
          <w:szCs w:val="24"/>
        </w:rPr>
        <w:t xml:space="preserve">- об органах по сертификации продукции;</w:t>
      </w:r>
    </w:p>
    <w:p>
      <w:pPr>
        <w:spacing w:after="120"/>
        <w:ind w:firstLine="397"/>
        <w:jc w:val="both"/>
      </w:pPr>
      <w:r>
        <w:rPr>
          <w:rFonts w:ascii="Arial" w:cs="Arial" w:eastAsia="Arial" w:hAnsi="Arial"/>
          <w:sz w:val="24"/>
          <w:szCs w:val="24"/>
        </w:rPr>
        <w:t xml:space="preserve">- об испытательных лабораториях;</w:t>
      </w:r>
    </w:p>
    <w:p>
      <w:pPr>
        <w:spacing w:after="120"/>
        <w:ind w:firstLine="397"/>
        <w:jc w:val="both"/>
      </w:pPr>
      <w:r>
        <w:rPr>
          <w:rFonts w:ascii="Arial" w:cs="Arial" w:eastAsia="Arial" w:hAnsi="Arial"/>
          <w:sz w:val="24"/>
          <w:szCs w:val="24"/>
        </w:rPr>
        <w:t xml:space="preserve">- об органах инспекции.</w:t>
      </w:r>
    </w:p>
    <w:p>
      <w:pPr>
        <w:spacing w:after="120"/>
        <w:ind w:firstLine="397"/>
        <w:jc w:val="both"/>
      </w:pPr>
      <w:r>
        <w:rPr>
          <w:rFonts w:ascii="Arial" w:cs="Arial" w:eastAsia="Arial" w:hAnsi="Arial"/>
          <w:sz w:val="24"/>
          <w:szCs w:val="24"/>
        </w:rPr>
        <w:t xml:space="preserve">3. Орган по оценке соответствия (далее - ООС), претендующий на включение в Единый реестр, должен подать заявку на включение в национальную часть Единого реестра и представить информацию в соответствии с установленной процедурой Кыргызского центра аккредитации при Министерстве экономики и коммерции Кыргызской Республики (далее - КЦА).</w:t>
      </w:r>
    </w:p>
    <w:p>
      <w:pPr>
        <w:spacing w:after="120"/>
        <w:ind w:firstLine="397"/>
        <w:jc w:val="both"/>
      </w:pPr>
      <w:r>
        <w:rPr>
          <w:rFonts w:ascii="Arial" w:cs="Arial" w:eastAsia="Arial" w:hAnsi="Arial"/>
          <w:sz w:val="24"/>
          <w:szCs w:val="24"/>
        </w:rPr>
        <w:t xml:space="preserve">4. Решение о включении аккредитованного ООС в национальную часть Единого реестра по результатам рассмотрения заявки аккредитованного ООС принимается КЦА, являющимся уполномоченным органом за формирование и ведение национальной части Единого реестра.</w:t>
      </w:r>
    </w:p>
    <w:p>
      <w:pPr>
        <w:spacing w:after="120"/>
        <w:ind w:firstLine="397"/>
        <w:jc w:val="both"/>
      </w:pPr>
      <w:r>
        <w:rPr>
          <w:rFonts w:ascii="Arial" w:cs="Arial" w:eastAsia="Arial" w:hAnsi="Arial"/>
          <w:sz w:val="24"/>
          <w:szCs w:val="24"/>
        </w:rPr>
        <w:t xml:space="preserve">5. Для принятия КЦА решения о включении аккредитованного OOC - органа по сертификации, испытательной лаборатории (центра) органа инспекции в национальную часть Единого реестра является одновременное соблюдение следующих условий:</w:t>
      </w:r>
    </w:p>
    <w:p>
      <w:pPr>
        <w:spacing w:after="120"/>
        <w:ind w:firstLine="397"/>
        <w:jc w:val="both"/>
      </w:pPr>
      <w:r>
        <w:rPr>
          <w:rFonts w:ascii="Arial" w:cs="Arial" w:eastAsia="Arial" w:hAnsi="Arial"/>
          <w:sz w:val="24"/>
          <w:szCs w:val="24"/>
        </w:rPr>
        <w:t xml:space="preserve">- установленное на дату принятия такого решения соответствие аккредитованного ООС критериям включения аккредитованных ООС в Единый реестр, предусмотренным правом Евразийского экономического союза (далее - критерии включения);</w:t>
      </w:r>
    </w:p>
    <w:p>
      <w:pPr>
        <w:spacing w:after="120"/>
        <w:ind w:firstLine="397"/>
        <w:jc w:val="both"/>
      </w:pPr>
      <w:r>
        <w:rPr>
          <w:rFonts w:ascii="Arial" w:cs="Arial" w:eastAsia="Arial" w:hAnsi="Arial"/>
          <w:sz w:val="24"/>
          <w:szCs w:val="24"/>
        </w:rPr>
        <w:t xml:space="preserve">- наличие положительного решения Комиссии по принятию решения в области аккредитации ООС о возможности работы аккредитованного ООС в области обязательной оценки (подтверждения) соответствия продукции требованиям права Евразийского экономического союза, принятого КЦА.</w:t>
      </w:r>
    </w:p>
    <w:p>
      <w:pPr>
        <w:spacing w:after="120"/>
        <w:ind w:firstLine="397"/>
        <w:jc w:val="both"/>
      </w:pPr>
      <w:r>
        <w:rPr>
          <w:rFonts w:ascii="Arial" w:cs="Arial" w:eastAsia="Arial" w:hAnsi="Arial"/>
          <w:sz w:val="24"/>
          <w:szCs w:val="24"/>
        </w:rPr>
        <w:t xml:space="preserve">6. В случае если указанная заявка подана аккредитованным ООС, в отношении которого принято решение о его отмене аккредитации, а также аккредитованным ООС, действие аттестата аккредитации которого приостановлено, такая заявка рассмотрению не подлежит, о чем КЦА уведомляет заявителя в течение 15 рабочих дней со дня поступления указанной заявки.</w:t>
      </w:r>
    </w:p>
    <w:p>
      <w:pPr>
        <w:spacing w:after="120"/>
        <w:ind w:firstLine="397"/>
        <w:jc w:val="both"/>
      </w:pPr>
      <w:r>
        <w:rPr>
          <w:rFonts w:ascii="Arial" w:cs="Arial" w:eastAsia="Arial" w:hAnsi="Arial"/>
          <w:sz w:val="24"/>
          <w:szCs w:val="24"/>
        </w:rPr>
        <w:t xml:space="preserve">Критерии включения аккредитованных ООС (в том числе органов по сертификации, испытательных лабораторий (центров) и органов инспекции в Единый реестр, правила его формирования и ведения установлены и осуществляются в соответствии с Порядком включения аккредитованных органов по оценке соответствия (в том числе органов по сертификации, испытательных лабораторий (центров)) в единый реестр органов по оценке соответствия Евразийского экономического союза, а также его формирования и ведения утвержденным решением Совета ЕЭК от 5 декабря 2018 года № 100 (далее - Порядок) и настоящим Положением.</w:t>
      </w:r>
    </w:p>
    <w:p>
      <w:pPr>
        <w:spacing w:after="120"/>
        <w:ind w:firstLine="397"/>
        <w:jc w:val="both"/>
      </w:pPr>
      <w:r>
        <w:rPr>
          <w:rFonts w:ascii="Arial" w:cs="Arial" w:eastAsia="Arial" w:hAnsi="Arial"/>
          <w:sz w:val="24"/>
          <w:szCs w:val="24"/>
        </w:rPr>
        <w:t xml:space="preserve">7. Решение КЦА о включении аккредитованного ООС в национальную часть Единого реестра или решение об отказе во включении аккредитованного ООС в национальную часть Единого реестра может быть обжаловано в досудебном порядке и (или) в судебном порядке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8. В течение 5 рабочих дней со дня подписания приказа КЦА о включении аккредитованного ООС в национальную часть Единого реестра сведения об аккредитованном ООС вносятся в национальную часть Единого реестра.</w:t>
      </w:r>
    </w:p>
    <w:p>
      <w:pPr>
        <w:spacing w:after="120"/>
        <w:ind w:firstLine="397"/>
        <w:jc w:val="both"/>
      </w:pPr>
      <w:r>
        <w:rPr>
          <w:rFonts w:ascii="Arial" w:cs="Arial" w:eastAsia="Arial" w:hAnsi="Arial"/>
          <w:sz w:val="24"/>
          <w:szCs w:val="24"/>
        </w:rPr>
        <w:t xml:space="preserve">9. При рассмотрении вопросов о включении аккредитованных ООС в национальную часть Единого реестра или об их исключении из него подготовку необходимых материалов для Комиссии по принятию решения в области аккредитации ООС осуществляет ответственное лицо КЦА.</w:t>
      </w:r>
    </w:p>
    <w:p>
      <w:pPr>
        <w:spacing w:after="120"/>
        <w:ind w:firstLine="397"/>
        <w:jc w:val="both"/>
      </w:pPr>
      <w:r>
        <w:rPr>
          <w:rFonts w:ascii="Arial" w:cs="Arial" w:eastAsia="Arial" w:hAnsi="Arial"/>
          <w:sz w:val="24"/>
          <w:szCs w:val="24"/>
        </w:rPr>
        <w:t xml:space="preserve">10. Исключение аккредитованного ООС из национальной части Единого реестра осуществляется по решению КЦА.</w:t>
      </w:r>
    </w:p>
    <w:p>
      <w:pPr>
        <w:spacing w:after="120"/>
        <w:ind w:firstLine="397"/>
        <w:jc w:val="both"/>
      </w:pPr>
      <w:r>
        <w:rPr>
          <w:rFonts w:ascii="Arial" w:cs="Arial" w:eastAsia="Arial" w:hAnsi="Arial"/>
          <w:sz w:val="24"/>
          <w:szCs w:val="24"/>
        </w:rPr>
        <w:t xml:space="preserve">11. Основаниями для принятия решения об исключении аккредитованного ООС из национальной части Единого реестра является наличие в КЦА фактов, подтверждающих, что аккредитованный ООС перестал соответствовать критериям включения, а именно при установлении следующих нарушений аккредитованными ООС в зависимости от направления деятельности и не ограничиваясь этим:</w:t>
      </w:r>
    </w:p>
    <w:p>
      <w:pPr>
        <w:spacing w:after="120"/>
        <w:ind w:firstLine="397"/>
        <w:jc w:val="both"/>
      </w:pPr>
      <w:r>
        <w:rPr>
          <w:rFonts w:ascii="Arial" w:cs="Arial" w:eastAsia="Arial" w:hAnsi="Arial"/>
          <w:sz w:val="24"/>
          <w:szCs w:val="24"/>
        </w:rPr>
        <w:t xml:space="preserve">- нарушение области аккредитации, включая превышение;</w:t>
      </w:r>
    </w:p>
    <w:p>
      <w:pPr>
        <w:spacing w:after="120"/>
        <w:ind w:firstLine="397"/>
        <w:jc w:val="both"/>
      </w:pPr>
      <w:r>
        <w:rPr>
          <w:rFonts w:ascii="Arial" w:cs="Arial" w:eastAsia="Arial" w:hAnsi="Arial"/>
          <w:sz w:val="24"/>
          <w:szCs w:val="24"/>
        </w:rPr>
        <w:t xml:space="preserve">- нарушение схемы сертификации;</w:t>
      </w:r>
    </w:p>
    <w:p>
      <w:pPr>
        <w:spacing w:after="120"/>
        <w:ind w:firstLine="397"/>
        <w:jc w:val="both"/>
      </w:pPr>
      <w:r>
        <w:rPr>
          <w:rFonts w:ascii="Arial" w:cs="Arial" w:eastAsia="Arial" w:hAnsi="Arial"/>
          <w:sz w:val="24"/>
          <w:szCs w:val="24"/>
        </w:rPr>
        <w:t xml:space="preserve">- нарушение требований: по идентификации продукции; к отбору образцов (проб) продукции; к персоналу; к формированию программы испытаний/исследований (измерений) и инспекции продукции; к проведению испытаний/исследований (измерений) и инспекции продукции; применения метода испытаний/исследований (измерений) и инспекции продукции.</w:t>
      </w:r>
    </w:p>
    <w:p>
      <w:pPr>
        <w:spacing w:after="120"/>
        <w:ind w:firstLine="397"/>
        <w:jc w:val="both"/>
      </w:pPr>
      <w:r>
        <w:rPr>
          <w:rFonts w:ascii="Arial" w:cs="Arial" w:eastAsia="Arial" w:hAnsi="Arial"/>
          <w:sz w:val="24"/>
          <w:szCs w:val="24"/>
        </w:rPr>
        <w:t xml:space="preserve">12. Решение КЦА об исключении аккредитованного ООС принимается на основании Комиссии по принятию решения в области аккредитации ООС, включая отрицательный результат проведения взаимных сравнительных оценок по соответствующим процедурам оценки соответствия и требованиям аккредитации, изложенным в международных стандартах:</w:t>
      </w:r>
    </w:p>
    <w:p>
      <w:pPr>
        <w:spacing w:after="120"/>
        <w:ind w:firstLine="397"/>
        <w:jc w:val="both"/>
      </w:pPr>
      <w:r>
        <w:rPr>
          <w:rFonts w:ascii="Arial" w:cs="Arial" w:eastAsia="Arial" w:hAnsi="Arial"/>
          <w:sz w:val="24"/>
          <w:szCs w:val="24"/>
        </w:rPr>
        <w:t xml:space="preserve">- поступившее в КЦА заявление аккредитованного ООС об исключении его из национальной части Единого реестра;</w:t>
      </w:r>
    </w:p>
    <w:p>
      <w:pPr>
        <w:spacing w:after="120"/>
        <w:ind w:firstLine="397"/>
        <w:jc w:val="both"/>
      </w:pPr>
      <w:r>
        <w:rPr>
          <w:rFonts w:ascii="Arial" w:cs="Arial" w:eastAsia="Arial" w:hAnsi="Arial"/>
          <w:sz w:val="24"/>
          <w:szCs w:val="24"/>
        </w:rPr>
        <w:t xml:space="preserve">- подтверждение фактов нарушений в деятельности аккредитованного ООС, включенного в Единый реестр установленных требований Порядком включения аккредитованных органов по оценке соответствия (в том числе органов по сертификации, испытательных лабораторий (центров)) в единый реестр органов по оценке соответствия Евразийского экономического союза, а также его формирования и ведения, утвержденным решением Совета ЕЭК от 5 декабря 2018 года № 100 и настоящего Порядка;</w:t>
      </w:r>
    </w:p>
    <w:p>
      <w:pPr>
        <w:spacing w:after="120"/>
        <w:ind w:firstLine="397"/>
        <w:jc w:val="both"/>
      </w:pPr>
      <w:r>
        <w:rPr>
          <w:rFonts w:ascii="Arial" w:cs="Arial" w:eastAsia="Arial" w:hAnsi="Arial"/>
          <w:sz w:val="24"/>
          <w:szCs w:val="24"/>
        </w:rPr>
        <w:t xml:space="preserve">- отказ аккредитованного ООС в проведении оценки согласно установленной программе оценок КЦА, выбранной в рамках процесса взаимных сравнительных оценок его деятельности, организованных ЕЭК;</w:t>
      </w:r>
    </w:p>
    <w:p>
      <w:pPr>
        <w:spacing w:after="120"/>
        <w:ind w:firstLine="397"/>
        <w:jc w:val="both"/>
      </w:pPr>
      <w:r>
        <w:rPr>
          <w:rFonts w:ascii="Arial" w:cs="Arial" w:eastAsia="Arial" w:hAnsi="Arial"/>
          <w:sz w:val="24"/>
          <w:szCs w:val="24"/>
        </w:rPr>
        <w:t xml:space="preserve">- несвоевременное предоставление аккредитованным ООС информации в виде электронной записи сведений об аккредитованном ООС по форме Ф.КЦА-ПА1ООС.ТС установленной процедурой по аккредитации КЦА-ПА1ООС "Процедура по аккредитации ООС. Представление заявки" в соответствии с направлением деятельности ООС в программное обеспечение автоматизированной информационной системы КЦА.</w:t>
      </w:r>
    </w:p>
    <w:p>
      <w:pPr>
        <w:spacing w:after="120"/>
        <w:ind w:firstLine="397"/>
        <w:jc w:val="both"/>
      </w:pPr>
      <w:r>
        <w:rPr>
          <w:rFonts w:ascii="Arial" w:cs="Arial" w:eastAsia="Arial" w:hAnsi="Arial"/>
          <w:sz w:val="24"/>
          <w:szCs w:val="24"/>
        </w:rPr>
        <w:t xml:space="preserve">13. В случае прекращения деятельности аккредитованного ООС в национальной системе аккредитации, то ООС исключается из национальной части Единого реестра без принятия КЦА соответствующего решения.</w:t>
      </w:r>
    </w:p>
    <w:p>
      <w:pPr>
        <w:spacing w:after="120"/>
        <w:ind w:firstLine="397"/>
        <w:jc w:val="both"/>
      </w:pPr>
      <w:r>
        <w:rPr>
          <w:rFonts w:ascii="Arial" w:cs="Arial" w:eastAsia="Arial" w:hAnsi="Arial"/>
          <w:sz w:val="24"/>
          <w:szCs w:val="24"/>
        </w:rPr>
        <w:t xml:space="preserve">14. При оценке возможности работы аккредитованного ООС в области обязательной оценки (подтверждения) соответствия продукции требованиям Евразийского экономического союза, ООС должны соответствовать следующим критериям:</w:t>
      </w:r>
    </w:p>
    <w:p>
      <w:pPr>
        <w:spacing w:after="120"/>
        <w:ind w:firstLine="397"/>
        <w:jc w:val="both"/>
      </w:pPr>
      <w:r>
        <w:rPr>
          <w:rFonts w:ascii="Arial" w:cs="Arial" w:eastAsia="Arial" w:hAnsi="Arial"/>
          <w:sz w:val="24"/>
          <w:szCs w:val="24"/>
        </w:rPr>
        <w:t xml:space="preserve">- наличие у руководителя органа по сертификации, руководителя испытательной лаборатории (центра), руководителя органа инспекции, их заместителей высшего образования по специальности и (или) подготовки по направлению соответствующей всей области аккредитации или ее части, и опыта работы/знания в области оценки соответствия не менее 5 лет, а также соответствия, установленным самим аккредитованным ООС, требованиям к компетентности;</w:t>
      </w:r>
    </w:p>
    <w:p>
      <w:pPr>
        <w:spacing w:after="120"/>
        <w:ind w:firstLine="397"/>
        <w:jc w:val="both"/>
      </w:pPr>
      <w:r>
        <w:rPr>
          <w:rFonts w:ascii="Arial" w:cs="Arial" w:eastAsia="Arial" w:hAnsi="Arial"/>
          <w:sz w:val="24"/>
          <w:szCs w:val="24"/>
        </w:rPr>
        <w:t xml:space="preserve">- отсутствие в составе учредителей или участников юридического лица, аккредитованного в национальной системе аккредитации, в составе ключевого персонала аккредитованного ООС, лиц ранее являвшихся учредителями или участниками юридического лица, аккредитованного в национальной системе аккредитации; лиц, осуществлявших трудовую деятельность в составе ключевого персонала иных аккредитованных ООС, у которых в течение 2 лет, предшествующих дню подачи заявки о включении в национальную часть Единого реестра, были установлены/выявлены случаи массовой или систематической необоснованной выдачи результатов об оценке (подтверждении) соответствия, либо в аккредитованных ООС, уклонившихся от проведения оценки (плановых, внеплановых, внезапных без предупреждения) при осуществлении КЦА за деятельностью аккредитованного ООС;</w:t>
      </w:r>
    </w:p>
    <w:p>
      <w:pPr>
        <w:spacing w:after="120"/>
        <w:ind w:firstLine="397"/>
        <w:jc w:val="both"/>
      </w:pPr>
      <w:r>
        <w:rPr>
          <w:rFonts w:ascii="Arial" w:cs="Arial" w:eastAsia="Arial" w:hAnsi="Arial"/>
          <w:sz w:val="24"/>
          <w:szCs w:val="24"/>
        </w:rPr>
        <w:t xml:space="preserve">- отсутствие в течение 1 года, предшествующего дню подачи заявки о включении в национальную часть Единого реестра, фактов взаимодействия при выполнении работ по обязательной оценке (подтверждению) соответствия с аккредитованными ООС, в том числе органами по оценке (подтверждению) соответствия иностранных государств, допустивших случаи массовой или систематической необоснованной выдачи результатов об оценке (подтверждении) соответствия;</w:t>
      </w:r>
    </w:p>
    <w:p>
      <w:pPr>
        <w:spacing w:after="120"/>
        <w:ind w:firstLine="397"/>
        <w:jc w:val="both"/>
      </w:pPr>
      <w:r>
        <w:rPr>
          <w:rFonts w:ascii="Arial" w:cs="Arial" w:eastAsia="Arial" w:hAnsi="Arial"/>
          <w:sz w:val="24"/>
          <w:szCs w:val="24"/>
        </w:rPr>
        <w:t xml:space="preserve">- отсутствие выявленных в течение 1 года случаев необоснованной выдачи результатов об оценке (подтверждении) соответствия, повлекших за собой выпуск в обращение продукции, не соответствующей требованиям законодательства государства-члена или нормативных документов (для продукции, включенной в единый перечень) либо требованиям технических регламентов Союза;</w:t>
      </w:r>
    </w:p>
    <w:p>
      <w:pPr>
        <w:spacing w:after="120"/>
        <w:ind w:firstLine="397"/>
        <w:jc w:val="both"/>
      </w:pPr>
      <w:r>
        <w:rPr>
          <w:rFonts w:ascii="Arial" w:cs="Arial" w:eastAsia="Arial" w:hAnsi="Arial"/>
          <w:sz w:val="24"/>
          <w:szCs w:val="24"/>
        </w:rPr>
        <w:t xml:space="preserve">- отсутствие выявленных в течение 1 года случаев массовой и (или) систематической необоснованной выдачи результатов об оценке (подтверждении) соответствия;</w:t>
      </w:r>
    </w:p>
    <w:p>
      <w:pPr>
        <w:spacing w:after="120"/>
        <w:ind w:firstLine="397"/>
        <w:jc w:val="both"/>
      </w:pPr>
      <w:r>
        <w:rPr>
          <w:rFonts w:ascii="Arial" w:cs="Arial" w:eastAsia="Arial" w:hAnsi="Arial"/>
          <w:sz w:val="24"/>
          <w:szCs w:val="24"/>
        </w:rPr>
        <w:t xml:space="preserve">- отсутствие в материалах, представленных аккредитованным ООС в рамках рассмотрения КЦА вопроса о включении аккредитованного ООС в национальную часть Единого реестра, недостоверной или искаженной информации;</w:t>
      </w:r>
    </w:p>
    <w:p>
      <w:pPr>
        <w:spacing w:after="120"/>
        <w:ind w:firstLine="397"/>
        <w:jc w:val="both"/>
      </w:pPr>
      <w:r>
        <w:rPr>
          <w:rFonts w:ascii="Arial" w:cs="Arial" w:eastAsia="Arial" w:hAnsi="Arial"/>
          <w:sz w:val="24"/>
          <w:szCs w:val="24"/>
        </w:rPr>
        <w:t xml:space="preserve">- наличие в составе юридического лица, структурных подразделений органа по сертификации собственных испытательной лаборатории (центра)/органа инспекции, аккредитованных в национальной системе аккредитации, обеспечивающих проведение работ по оценке (подтверждению) соответствия и испытаний/исследований (измерений) и инспекции по требованиям технических регламентов Евразийского экономического союза (Таможенного союза) и в соответствии с предусмотренными правом Евразийского экономического союза методиками их проведения и включенных в национальную часть Единого реестра. При отсутствии в составе юридического лица испытательной лаборатории (центра)/органа инспекции, либо отсутствии у испытательной лаборатории (центра)/органа инспекции в области аккредитации части необходимых показателей или методов и процедур проведения испытаний/исследований (измерений) и инспекции оценивается наличие у аккредитованного ООС договора о выполнении соответствующих испытаний/исследований (измерений) и инспекции, заключенного на срок не менее 1 года, с иной испытательной лабораторией (центром), органом инспекции, аккредитованных в национальной системе аккредитации на проведение указанных исследований (испытаний) и измерений, инспекции/контроля и включенных в национальную часть Единого реестра;</w:t>
      </w:r>
    </w:p>
    <w:p>
      <w:pPr>
        <w:spacing w:after="120"/>
        <w:ind w:firstLine="397"/>
        <w:jc w:val="both"/>
      </w:pPr>
      <w:r>
        <w:rPr>
          <w:rFonts w:ascii="Arial" w:cs="Arial" w:eastAsia="Arial" w:hAnsi="Arial"/>
          <w:sz w:val="24"/>
          <w:szCs w:val="24"/>
        </w:rPr>
        <w:t xml:space="preserve">- проведение аккредитованным органом по сертификации самостоятельно всей процедуры сертификации, без передачи субподрядным организациям этапа оценивания на постоянной основе;</w:t>
      </w:r>
    </w:p>
    <w:p>
      <w:pPr>
        <w:spacing w:after="120"/>
        <w:ind w:firstLine="397"/>
        <w:jc w:val="both"/>
      </w:pPr>
      <w:r>
        <w:rPr>
          <w:rFonts w:ascii="Arial" w:cs="Arial" w:eastAsia="Arial" w:hAnsi="Arial"/>
          <w:sz w:val="24"/>
          <w:szCs w:val="24"/>
        </w:rPr>
        <w:t xml:space="preserve">- наличие у аккредитованного органа по сертификации опыта в национальной системе сертификации не менее 1 года, предшествующего дню подачи заявки о включении в национальную часть Единого реестра.</w:t>
      </w:r>
    </w:p>
    <w:p>
      <w:pPr>
        <w:spacing w:after="120"/>
        <w:ind w:firstLine="397"/>
        <w:jc w:val="both"/>
      </w:pPr>
      <w:r>
        <w:rPr>
          <w:rFonts w:ascii="Arial" w:cs="Arial" w:eastAsia="Arial" w:hAnsi="Arial"/>
          <w:sz w:val="24"/>
          <w:szCs w:val="24"/>
        </w:rPr>
        <w:t xml:space="preserve">15. При принятии положительного решения Комиссии о включении аккредитованных ООС в Единый реестр, КЦА в пятидневный срок направляет уведомление в Евразийскую экономическую комиссию и представляет сведения о них согласно порядку, регламентирующему информационное взаимодействие при реализации средствами интегрированной информационной системы внешней и взаимной торговли общего процесса "Формирование и ведение единого реестра органов по оценке соответствия Евразийского экономического союза (в том числе органов по сертификации, испытательных лабораторий (центров))" путем размещения информации об аккредитованном ООС на официальных сайтах КЦА и ЕАЭС в сети Интернет.</w:t>
      </w:r>
    </w:p>
    <w:p>
      <w:pPr>
        <w:spacing w:after="120"/>
        <w:ind w:firstLine="397"/>
        <w:jc w:val="both"/>
      </w:pPr>
      <w:r>
        <w:rPr>
          <w:rFonts w:ascii="Arial" w:cs="Arial" w:eastAsia="Arial" w:hAnsi="Arial"/>
          <w:sz w:val="24"/>
          <w:szCs w:val="24"/>
        </w:rPr>
        <w:t xml:space="preserve">16. При необходимости включения аккредитованного ООС в Единый реестр или исключения их из Единого реестра, или актуализации сведений об аккредитованном ООС, КЦА представляет сведения в Евразийскую экономическую комиссию посредством интегрированной информационной системы общего процесса ЕАЭС.».</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hfjas44ewp3cu-xgpw-_l" Type="http://schemas.openxmlformats.org/officeDocument/2006/relationships/hyperlink" Target="http://kodeks.duckdns.org/document/112301#st_13" TargetMode="External"/><Relationship Id="rIdffnlnutrkn4_v9bkqvgkp" Type="http://schemas.openxmlformats.org/officeDocument/2006/relationships/hyperlink" Target="http://kodeks.duckdns.org/document/112301#st_17" TargetMode="External"/><Relationship Id="rIdeiewrhrjnyv48tue-snn0" Type="http://schemas.openxmlformats.org/officeDocument/2006/relationships/hyperlink" Target="http://kodeks.duckdns.org/document/57960" TargetMode="External"/><Relationship Id="rIdi7xu3lbl__76s0xkrhjqm" Type="http://schemas.openxmlformats.org/officeDocument/2006/relationships/hyperlink" Target="http://kodeks.duckdns.org/document/57960#p6" TargetMode="External"/><Relationship Id="rIdvqjtokujc-eksntehkcue" Type="http://schemas.openxmlformats.org/officeDocument/2006/relationships/hyperlink" Target="http://kodeks.duckdns.org/document/230010881" TargetMode="External"/><Relationship Id="rIdcj5jfvy_i6r-unckxxisr" Type="http://schemas.openxmlformats.org/officeDocument/2006/relationships/hyperlink" Target="http://kodeks.duckdns.org/document/230010881#pr" TargetMode="External"/><Relationship Id="rIdvq7dnvwgkbxmzkelh0akc" Type="http://schemas.openxmlformats.org/officeDocument/2006/relationships/hyperlink" Target="http://kodeks.duckdns.org/document/230010921#pr" TargetMode="External"/><Relationship Id="rIdshvkads-fllxob92yaahe" Type="http://schemas.openxmlformats.org/officeDocument/2006/relationships/hyperlink" Target="http://kodeks.duckdns.org/document/230010921" TargetMode="External"/><Relationship Id="rIds7mazp8b_6bcwxzsskuk1" Type="http://schemas.openxmlformats.org/officeDocument/2006/relationships/hyperlink" Target="http://kodeks.duckdns.org/document/12908" TargetMode="External"/><Relationship Id="rIdvbt_nkeikeafwrie6yrdk" Type="http://schemas.openxmlformats.org/officeDocument/2006/relationships/hyperlink" Target="http://kodeks.duckdns.org/document/12908#p4" TargetMode="External"/><Relationship Id="rId7smxtxjnhn54wu1bjzyro" Type="http://schemas.openxmlformats.org/officeDocument/2006/relationships/hyperlink" Target="http://kodeks.duckdns.org/document/12908#p4_1" TargetMode="External"/><Relationship Id="rIdgscmjxtzy_q_jtvjeeg_e" Type="http://schemas.openxmlformats.org/officeDocument/2006/relationships/hyperlink" Target="http://kodeks.duckdns.org/document/12908#p4_2" TargetMode="External"/><Relationship Id="rIdv2rrppxeglix5yl0su3mf" Type="http://schemas.openxmlformats.org/officeDocument/2006/relationships/hyperlink" Target="http://kodeks.duckdns.org/document/12908#p8" TargetMode="External"/><Relationship Id="rIdd-nynaaoxf-f874p2uurk" Type="http://schemas.openxmlformats.org/officeDocument/2006/relationships/hyperlink" Target="http://kodeks.duckdns.org/document/230010901" TargetMode="External"/><Relationship Id="rIdrw_fbtorroohg5srw_ebh" Type="http://schemas.openxmlformats.org/officeDocument/2006/relationships/hyperlink" Target="http://kodeks.duckdns.org/document/12908" TargetMode="External"/><Relationship Id="rIdmhiqq8ybzqpcjkh-condb" Type="http://schemas.openxmlformats.org/officeDocument/2006/relationships/hyperlink" Target="http://kodeks.duckdns.org/document/230010901#p2" TargetMode="External"/><Relationship Id="rIdjvv4gki1fbe9hsa7e5zou" Type="http://schemas.openxmlformats.org/officeDocument/2006/relationships/hyperlink" Target="http://kodeks.duckdns.org/document/230010901#p3" TargetMode="External"/><Relationship Id="rIdbkn4ghxpt3yjcfqlghzuh" Type="http://schemas.openxmlformats.org/officeDocument/2006/relationships/hyperlink" Target="http://kodeks.duckdns.org/document/230010901#p4" TargetMode="External"/><Relationship Id="rIdum8ov3z3y5tza0ysaqxk6" Type="http://schemas.openxmlformats.org/officeDocument/2006/relationships/hyperlink" Target="http://kodeks.duckdns.org/document/230010901#p5" TargetMode="External"/><Relationship Id="rId43xubm10dk3h6mx7fjzhb" Type="http://schemas.openxmlformats.org/officeDocument/2006/relationships/hyperlink" Target="http://kodeks.duckdns.org/document/230010901#p9" TargetMode="External"/><Relationship Id="rId-ivltgpzgl1byipjxizdn" Type="http://schemas.openxmlformats.org/officeDocument/2006/relationships/hyperlink" Target="http://kodeks.duckdns.org/document/230010901#p12" TargetMode="External"/><Relationship Id="rIdxuny8ei4e9yqqizgafgbx" Type="http://schemas.openxmlformats.org/officeDocument/2006/relationships/hyperlink" Target="http://kodeks.duckdns.org/document/230010901#p15" TargetMode="External"/><Relationship Id="rIduyauyro7zxnndvntuhhv6" Type="http://schemas.openxmlformats.org/officeDocument/2006/relationships/hyperlink" Target="http://kodeks.duckdns.org/document/230010901#p16" TargetMode="External"/><Relationship Id="rIdlubtoj9crzt8l7p7k5cmt" Type="http://schemas.openxmlformats.org/officeDocument/2006/relationships/hyperlink" Target="http://kodeks.duckdns.org/document/230010901#p17" TargetMode="External"/><Relationship Id="rId6yzaevnyierbedtxlrtdd" Type="http://schemas.openxmlformats.org/officeDocument/2006/relationships/hyperlink" Target="http://kodeks.duckdns.org/document/230010901#p19" TargetMode="External"/><Relationship Id="rIdqbw-wcxa9a4bp4enz5_xa" Type="http://schemas.openxmlformats.org/officeDocument/2006/relationships/hyperlink" Target="http://kodeks.duckdns.org/document/230010881#pr" TargetMode="External"/><Relationship Id="rId7" Type="http://schemas.openxmlformats.org/officeDocument/2006/relationships/image" Target="media/93bec1c1538034512fe33c1434ae0ea86b639d33.png"/><Relationship Id="rId3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2026-09-22T23:47:13.098Z</dcterms:created>
  <dcterms:modified xsi:type="dcterms:W3CDTF">2026-09-22T23:47:13.098Z</dcterms:modified>
</cp:coreProperties>
</file>

<file path=docProps/custom.xml><?xml version="1.0" encoding="utf-8"?>
<Properties xmlns="http://schemas.openxmlformats.org/officeDocument/2006/custom-properties" xmlns:vt="http://schemas.openxmlformats.org/officeDocument/2006/docPropsVTypes"/>
</file>