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before="200"/>
        <w:ind w:firstLine="397"/>
        <w:jc w:val="center"/>
      </w:pPr>
      <w:r>
        <w:rPr>
          <w:rFonts w:ascii="Arial" w:cs="Arial" w:eastAsia="Arial" w:hAnsi="Arial"/>
          <w:b/>
          <w:bCs/>
          <w:sz w:val="32"/>
          <w:szCs w:val="32"/>
        </w:rPr>
        <w:t xml:space="preserve">ПОСТАНОВЛЕНИЕ КАБИНЕТА МИНИСТРОВ КЫРГЫЗСКОЙ РЕСПУБЛИКИ</w:t>
      </w:r>
    </w:p>
    <w:p>
      <w:pPr>
        <w:spacing w:after="240"/>
        <w:jc w:val="both"/>
      </w:pPr>
      <w:r>
        <w:rPr>
          <w:rFonts w:ascii="Arial" w:cs="Arial" w:eastAsia="Arial" w:hAnsi="Arial"/>
          <w:sz w:val="24"/>
          <w:szCs w:val="24"/>
        </w:rPr>
        <w:t xml:space="preserve">от </w:t>
      </w:r>
      <w:r>
        <w:rPr>
          <w:rFonts w:ascii="Arial" w:cs="Arial" w:eastAsia="Arial" w:hAnsi="Arial"/>
          <w:sz w:val="24"/>
          <w:szCs w:val="24"/>
        </w:rPr>
        <w:t xml:space="preserve">13 июня</w:t>
      </w:r>
      <w:r>
        <w:rPr>
          <w:rFonts w:ascii="Arial" w:cs="Arial" w:eastAsia="Arial" w:hAnsi="Arial"/>
          <w:sz w:val="24"/>
          <w:szCs w:val="24"/>
        </w:rPr>
        <w:t xml:space="preserve"> 202</w:t>
      </w:r>
      <w:r>
        <w:rPr>
          <w:rFonts w:ascii="Arial" w:cs="Arial" w:eastAsia="Arial" w:hAnsi="Arial"/>
          <w:sz w:val="24"/>
          <w:szCs w:val="24"/>
        </w:rPr>
        <w:t xml:space="preserve">4</w:t>
      </w:r>
      <w:r>
        <w:rPr>
          <w:rFonts w:ascii="Arial" w:cs="Arial" w:eastAsia="Arial" w:hAnsi="Arial"/>
          <w:sz w:val="24"/>
          <w:szCs w:val="24"/>
        </w:rPr>
        <w:t xml:space="preserve"> года № </w:t>
      </w:r>
      <w:r>
        <w:rPr>
          <w:rFonts w:ascii="Arial" w:cs="Arial" w:eastAsia="Arial" w:hAnsi="Arial"/>
          <w:sz w:val="24"/>
          <w:szCs w:val="24"/>
        </w:rPr>
        <w:t xml:space="preserve">308</w:t>
      </w:r>
    </w:p>
    <w:p>
      <w:pPr>
        <w:spacing w:after="480" w:before="200"/>
        <w:jc w:val="center"/>
      </w:pPr>
      <w:r>
        <w:rPr>
          <w:rFonts w:ascii="Arial" w:cs="Arial" w:eastAsia="Arial" w:hAnsi="Arial"/>
          <w:b/>
          <w:bCs/>
          <w:sz w:val="28"/>
          <w:szCs w:val="28"/>
        </w:rPr>
        <w:t xml:space="preserve">О внесении изменений в некоторые решения Кабинета Министров Кыргызской Республики по вопросам Государственной налоговой службы при Министерстве финансов Кыргызской Республики</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izcbttjj2deahbucycim4">
        <w:r>
          <w:rPr>
            <w:rFonts w:ascii="Arial" w:cs="Arial" w:eastAsia="Arial" w:hAnsi="Arial"/>
            <w:i/>
            <w:iCs/>
            <w:color w:val="1D4ED8"/>
            <w:sz w:val="24"/>
            <w:szCs w:val="24"/>
            <w:u w:val="single"/>
          </w:rPr>
          <w:t xml:space="preserve">19 декабря 2024 года № 773</w:t>
        </w:r>
      </w:hyperlink>
      <w:r>
        <w:rPr>
          <w:rFonts w:ascii="Arial" w:cs="Arial" w:eastAsia="Arial" w:hAnsi="Arial"/>
          <w:i/>
          <w:iCs/>
          <w:sz w:val="24"/>
          <w:szCs w:val="24"/>
        </w:rPr>
        <w:t xml:space="preserve">)</w:t>
      </w:r>
    </w:p>
    <w:p>
      <w:pPr>
        <w:spacing w:after="48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целях повышения эффективности управления государственными финансами, а также материального стимулирования работников органов налоговой службы, в соответствии со статьями </w:t>
      </w:r>
      <w:hyperlink w:history="1" r:id="rIdchnnggrg5jxwq1h1zs5nf">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qwfmnmb5v2gcahr5rcvfa">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ind w:firstLine="397"/>
        <w:jc w:val="both"/>
      </w:pPr>
      <w:r>
        <w:rPr>
          <w:rFonts w:ascii="Arial" w:cs="Arial" w:eastAsia="Arial" w:hAnsi="Arial"/>
          <w:sz w:val="24"/>
          <w:szCs w:val="24"/>
        </w:rPr>
        <w:t xml:space="preserve"/>
      </w:r>
    </w:p>
    <w:p>
      <w:pPr>
        <w:spacing w:after="120"/>
        <w:ind w:firstLine="425"/>
        <w:jc w:val="both"/>
      </w:pPr>
      <w:r>
        <w:rPr>
          <w:rFonts w:ascii="Arial" w:cs="Arial" w:eastAsia="Arial" w:hAnsi="Arial"/>
          <w:sz w:val="24"/>
          <w:szCs w:val="24"/>
        </w:rPr>
        <w:t xml:space="preserve">1. </w:t>
      </w:r>
      <w:r>
        <w:rPr>
          <w:rFonts w:ascii="Arial" w:cs="Arial" w:eastAsia="Arial" w:hAnsi="Arial"/>
          <w:i/>
          <w:iCs/>
          <w:sz w:val="24"/>
          <w:szCs w:val="24"/>
        </w:rPr>
        <w:t xml:space="preserve">(Утратил силу в соответствии с </w:t>
      </w:r>
      <w:hyperlink w:history="1" r:id="rIdyty_olrq19-unligyvhf5">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19 декабря 2024 года № 773) </w:t>
      </w:r>
    </w:p>
    <w:p>
      <w:pPr>
        <w:spacing w:after="120"/>
        <w:ind w:firstLine="425"/>
        <w:jc w:val="both"/>
      </w:pPr>
      <w:r>
        <w:rPr>
          <w:rFonts w:ascii="Arial" w:cs="Arial" w:eastAsia="Arial" w:hAnsi="Arial"/>
          <w:sz w:val="24"/>
          <w:szCs w:val="24"/>
        </w:rPr>
        <w:t xml:space="preserve">2. Внести в </w:t>
      </w:r>
      <w:hyperlink w:history="1" r:id="rIdfpdg5umr38q6yocklikf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государственном учреждении «Салык Сервис» при Государственной налоговой службе при Министерстве финансов Кыргызской Республики» от 11 марта 2022 года № 134 следующие изменения:</w:t>
      </w:r>
    </w:p>
    <w:p>
      <w:pPr>
        <w:spacing w:after="120"/>
        <w:ind w:firstLine="397"/>
        <w:jc w:val="both"/>
      </w:pPr>
      <w:r>
        <w:rPr>
          <w:rFonts w:ascii="Arial" w:cs="Arial" w:eastAsia="Arial" w:hAnsi="Arial"/>
          <w:sz w:val="24"/>
          <w:szCs w:val="24"/>
        </w:rPr>
        <w:t xml:space="preserve">1) </w:t>
      </w:r>
      <w:hyperlink w:history="1" r:id="rIdr31x3qd7qikkjwl6sjnuj">
        <w:r>
          <w:rPr>
            <w:rFonts w:ascii="Arial" w:cs="Arial" w:eastAsia="Arial" w:hAnsi="Arial"/>
            <w:color w:val="1D4ED8"/>
            <w:sz w:val="24"/>
            <w:szCs w:val="24"/>
            <w:u w:val="single"/>
          </w:rPr>
          <w:t xml:space="preserve">пункт 5</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«5. Установить минимальную базовую ставку в размере 7040 сомов, являющуюся основанием для расчета должностных окладов работников государственного учреждения «Салык Сервис» при Государственной налоговой службе при Министерстве финансов Кыргызской Республики.»;</w:t>
      </w:r>
    </w:p>
    <w:p>
      <w:pPr>
        <w:spacing w:after="120"/>
        <w:ind w:firstLine="397"/>
        <w:jc w:val="both"/>
      </w:pPr>
      <w:r>
        <w:rPr>
          <w:rFonts w:ascii="Arial" w:cs="Arial" w:eastAsia="Arial" w:hAnsi="Arial"/>
          <w:sz w:val="24"/>
          <w:szCs w:val="24"/>
        </w:rPr>
        <w:t xml:space="preserve">2) дополнить </w:t>
      </w:r>
      <w:hyperlink w:history="1" r:id="rIdqcq9k9f7na_f7lliqautw">
        <w:r>
          <w:rPr>
            <w:rFonts w:ascii="Arial" w:cs="Arial" w:eastAsia="Arial" w:hAnsi="Arial"/>
            <w:color w:val="1D4ED8"/>
            <w:sz w:val="24"/>
            <w:szCs w:val="24"/>
            <w:u w:val="single"/>
          </w:rPr>
          <w:t xml:space="preserve">пунктом 5</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следующего содержания:</w:t>
      </w:r>
    </w:p>
    <w:p>
      <w:pPr>
        <w:spacing w:after="120"/>
        <w:ind w:firstLine="397"/>
        <w:jc w:val="both"/>
      </w:pPr>
      <w:r>
        <w:rPr>
          <w:rFonts w:ascii="Arial" w:cs="Arial" w:eastAsia="Arial" w:hAnsi="Arial"/>
          <w:sz w:val="24"/>
          <w:szCs w:val="24"/>
        </w:rPr>
        <w:t xml:space="preserve">«5</w:t>
      </w:r>
      <w:r>
        <w:rPr>
          <w:rFonts w:ascii="Arial" w:cs="Arial" w:eastAsia="Arial" w:hAnsi="Arial"/>
          <w:sz w:val="24"/>
          <w:szCs w:val="24"/>
        </w:rPr>
        <w:t xml:space="preserve">1</w:t>
      </w:r>
      <w:r>
        <w:rPr>
          <w:rFonts w:ascii="Arial" w:cs="Arial" w:eastAsia="Arial" w:hAnsi="Arial"/>
          <w:sz w:val="24"/>
          <w:szCs w:val="24"/>
        </w:rPr>
        <w:t xml:space="preserve">. Утвердить коэффициенты кратности к должностным окладам, применяемые при определении размеров должностных окладов работников государственного учреждения «Салык Сервис» при Государственной налоговой службе при Министерстве финансов Кыргызской Республики, согласно </w:t>
      </w:r>
      <w:hyperlink w:history="1" r:id="rIdpwvoakutetrmntkepenmm">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3) дополнить </w:t>
      </w:r>
      <w:hyperlink w:history="1" r:id="rId94jq7zejncubsxm7gut-u">
        <w:r>
          <w:rPr>
            <w:rFonts w:ascii="Arial" w:cs="Arial" w:eastAsia="Arial" w:hAnsi="Arial"/>
            <w:color w:val="1D4ED8"/>
            <w:sz w:val="24"/>
            <w:szCs w:val="24"/>
            <w:u w:val="single"/>
          </w:rPr>
          <w:t xml:space="preserve">приложением 3</w:t>
        </w:r>
      </w:hyperlink>
      <w:r>
        <w:rPr>
          <w:rFonts w:ascii="Arial" w:cs="Arial" w:eastAsia="Arial" w:hAnsi="Arial"/>
          <w:sz w:val="24"/>
          <w:szCs w:val="24"/>
        </w:rPr>
        <w:t xml:space="preserve"> в редакции согласно </w:t>
      </w:r>
      <w:hyperlink w:history="1" r:id="rIdyjqmejqmqcarcdoy6vao4">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w:t>
      </w:r>
      <w:hyperlink w:history="1" r:id="rId_qdixcvg22vbqydu303zk">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4) в </w:t>
      </w:r>
      <w:hyperlink w:history="1" r:id="rId9gmnjinp-bqj5fpni18qi">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государственном учреждении «Салык Сервис» при Государственной налоговой службе при Министерстве финансов Кыргызской Республики, утвержденном вышеуказанным </w:t>
      </w:r>
      <w:hyperlink w:history="1" r:id="rIdrer29p74ruaejrh1hfhx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в подпункте 7 </w:t>
      </w:r>
      <w:hyperlink w:history="1" r:id="rIdrxbwavumgwhfr2gus32lm">
        <w:r>
          <w:rPr>
            <w:rFonts w:ascii="Arial" w:cs="Arial" w:eastAsia="Arial" w:hAnsi="Arial"/>
            <w:color w:val="1D4ED8"/>
            <w:sz w:val="24"/>
            <w:szCs w:val="24"/>
            <w:u w:val="single"/>
          </w:rPr>
          <w:t xml:space="preserve">пункта 12</w:t>
        </w:r>
      </w:hyperlink>
      <w:r>
        <w:rPr>
          <w:rFonts w:ascii="Arial" w:cs="Arial" w:eastAsia="Arial" w:hAnsi="Arial"/>
          <w:sz w:val="24"/>
          <w:szCs w:val="24"/>
        </w:rPr>
        <w:t xml:space="preserve"> слова «оплату труда и» исключить;</w:t>
      </w:r>
    </w:p>
    <w:p>
      <w:pPr>
        <w:spacing w:after="120"/>
        <w:ind w:firstLine="397"/>
        <w:jc w:val="both"/>
      </w:pPr>
      <w:r>
        <w:rPr>
          <w:rFonts w:ascii="Arial" w:cs="Arial" w:eastAsia="Arial" w:hAnsi="Arial"/>
          <w:sz w:val="24"/>
          <w:szCs w:val="24"/>
        </w:rPr>
        <w:t xml:space="preserve">- в </w:t>
      </w:r>
      <w:hyperlink w:history="1" r:id="rIdzlya_3n6modw2is4jxava">
        <w:r>
          <w:rPr>
            <w:rFonts w:ascii="Arial" w:cs="Arial" w:eastAsia="Arial" w:hAnsi="Arial"/>
            <w:color w:val="1D4ED8"/>
            <w:sz w:val="24"/>
            <w:szCs w:val="24"/>
            <w:u w:val="single"/>
          </w:rPr>
          <w:t xml:space="preserve">пункте 25</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подпункт 5 изложить в следующей редакции:</w:t>
      </w:r>
    </w:p>
    <w:p>
      <w:pPr>
        <w:spacing w:after="120"/>
        <w:ind w:firstLine="397"/>
        <w:jc w:val="both"/>
      </w:pPr>
      <w:r>
        <w:rPr>
          <w:rFonts w:ascii="Arial" w:cs="Arial" w:eastAsia="Arial" w:hAnsi="Arial"/>
          <w:sz w:val="24"/>
          <w:szCs w:val="24"/>
        </w:rPr>
        <w:t xml:space="preserve">«5) утверждает штатное расписание и структуру ГУ «Салык Сервис» по согласованию с уполномоченным налоговым органом в пределах утвержденного фонда оплаты труда и штатной численности;»;</w:t>
      </w:r>
    </w:p>
    <w:p>
      <w:pPr>
        <w:spacing w:after="120"/>
        <w:ind w:firstLine="397"/>
        <w:jc w:val="both"/>
      </w:pPr>
      <w:r>
        <w:rPr>
          <w:rFonts w:ascii="Arial" w:cs="Arial" w:eastAsia="Arial" w:hAnsi="Arial"/>
          <w:sz w:val="24"/>
          <w:szCs w:val="24"/>
        </w:rPr>
        <w:t xml:space="preserve">подпункт 11 признать утратившим силу.</w:t>
      </w:r>
    </w:p>
    <w:p>
      <w:pPr>
        <w:spacing w:after="120"/>
        <w:ind w:firstLine="397"/>
        <w:jc w:val="both"/>
      </w:pPr>
      <w:r>
        <w:rPr>
          <w:rFonts w:ascii="Arial" w:cs="Arial" w:eastAsia="Arial" w:hAnsi="Arial"/>
          <w:sz w:val="24"/>
          <w:szCs w:val="24"/>
        </w:rPr>
        <w:t xml:space="preserve">3. Внести в </w:t>
      </w:r>
      <w:hyperlink w:history="1" r:id="rIdne_tcuoflrnbn9ejduyi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w:t>
      </w:r>
      <w:hyperlink w:history="1" r:id="rId9392txz518e9lrr4t7dm3">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Фонде развития и материального обеспечения Государственной налоговой службы при Министерстве финансов Кыргызской Республики» от 25 марта 2022 года № 159 следующие изменения:</w:t>
      </w:r>
    </w:p>
    <w:p>
      <w:pPr>
        <w:spacing w:after="120"/>
        <w:ind w:firstLine="397"/>
        <w:jc w:val="both"/>
      </w:pPr>
      <w:r>
        <w:rPr>
          <w:rFonts w:ascii="Arial" w:cs="Arial" w:eastAsia="Arial" w:hAnsi="Arial"/>
          <w:sz w:val="24"/>
          <w:szCs w:val="24"/>
        </w:rPr>
        <w:t xml:space="preserve">в </w:t>
      </w:r>
      <w:hyperlink w:history="1" r:id="rIdjidulz_vgkyfuy8slkacd">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Фонде развития и материального обеспечения Государственной налоговой службы при Министерстве финансов Кыргызской Республики, утвержденном вышеуказанным </w:t>
      </w:r>
      <w:hyperlink w:history="1" r:id="rIdiiyubflvaw7jbwifxejy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t>
      </w:r>
      <w:hyperlink w:history="1" r:id="rIdjgchxlrll8lbkutq7m12v">
        <w:r>
          <w:rPr>
            <w:rFonts w:ascii="Arial" w:cs="Arial" w:eastAsia="Arial" w:hAnsi="Arial"/>
            <w:color w:val="1D4ED8"/>
            <w:sz w:val="24"/>
            <w:szCs w:val="24"/>
            <w:u w:val="single"/>
          </w:rPr>
          <w:t xml:space="preserve">пункт 1</w:t>
        </w:r>
      </w:hyperlink>
      <w:r>
        <w:rPr>
          <w:rFonts w:ascii="Arial" w:cs="Arial" w:eastAsia="Arial" w:hAnsi="Arial"/>
          <w:sz w:val="24"/>
          <w:szCs w:val="24"/>
        </w:rPr>
        <w:t xml:space="preserve"> после слов «органов налоговой службы» дополнить словами «и государственного учреждения «Салык Сервис» при Государственной налоговой службе при Министерстве финансов Кыргызской Республики»;</w:t>
      </w:r>
    </w:p>
    <w:p>
      <w:pPr>
        <w:spacing w:after="120"/>
        <w:ind w:firstLine="397"/>
        <w:jc w:val="both"/>
      </w:pPr>
      <w:r>
        <w:rPr>
          <w:rFonts w:ascii="Arial" w:cs="Arial" w:eastAsia="Arial" w:hAnsi="Arial"/>
          <w:sz w:val="24"/>
          <w:szCs w:val="24"/>
        </w:rPr>
        <w:t xml:space="preserve">- пункты </w:t>
      </w:r>
      <w:hyperlink w:history="1" r:id="rIduc8i9s5mhzsxn905wyo_k">
        <w:r>
          <w:rPr>
            <w:rFonts w:ascii="Arial" w:cs="Arial" w:eastAsia="Arial" w:hAnsi="Arial"/>
            <w:color w:val="1D4ED8"/>
            <w:sz w:val="24"/>
            <w:szCs w:val="24"/>
            <w:u w:val="single"/>
          </w:rPr>
          <w:t xml:space="preserve">2</w:t>
        </w:r>
      </w:hyperlink>
      <w:r>
        <w:rPr>
          <w:rFonts w:ascii="Arial" w:cs="Arial" w:eastAsia="Arial" w:hAnsi="Arial"/>
          <w:sz w:val="24"/>
          <w:szCs w:val="24"/>
        </w:rPr>
        <w:t xml:space="preserve"> и </w:t>
      </w:r>
      <w:hyperlink w:history="1" r:id="rIdonlyh3x3evzrnxixug78g">
        <w:r>
          <w:rPr>
            <w:rFonts w:ascii="Arial" w:cs="Arial" w:eastAsia="Arial" w:hAnsi="Arial"/>
            <w:color w:val="1D4ED8"/>
            <w:sz w:val="24"/>
            <w:szCs w:val="24"/>
            <w:u w:val="single"/>
          </w:rPr>
          <w:t xml:space="preserve">3</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«2. Фонд формируется за счет финансирования из расходной части республиканского бюджета в размере до пятидесяти процентов от суммы средств, предусмотренных статьей 57 Налогового кодекса Кыргызской Республики в целях финансирования расходов органов налоговой службы.</w:t>
      </w:r>
    </w:p>
    <w:p>
      <w:pPr>
        <w:spacing w:after="120"/>
        <w:ind w:firstLine="397"/>
        <w:jc w:val="both"/>
      </w:pPr>
      <w:r>
        <w:rPr>
          <w:rFonts w:ascii="Arial" w:cs="Arial" w:eastAsia="Arial" w:hAnsi="Arial"/>
          <w:sz w:val="24"/>
          <w:szCs w:val="24"/>
        </w:rPr>
        <w:t xml:space="preserve">Средства Фонда для финансирования ежемесячных постоянных и стимулирующих выплат работникам государственного учреждения «Салык Сервис» при Государственной налоговой службе при Министерстве финансов Кыргызской Республики не должны превышать 70 процентов от фонда оплаты труда государственного учреждения «Салык Сервис» при Государственной налоговой службе при Министерстве финансов Кыргызской Республики.</w:t>
      </w:r>
    </w:p>
    <w:p>
      <w:pPr>
        <w:spacing w:after="120"/>
        <w:ind w:firstLine="397"/>
        <w:jc w:val="both"/>
      </w:pPr>
      <w:r>
        <w:rPr>
          <w:rFonts w:ascii="Arial" w:cs="Arial" w:eastAsia="Arial" w:hAnsi="Arial"/>
          <w:sz w:val="24"/>
          <w:szCs w:val="24"/>
        </w:rPr>
        <w:t xml:space="preserve">3. Средства Фонда используются на:</w:t>
      </w:r>
    </w:p>
    <w:p>
      <w:pPr>
        <w:spacing w:after="120"/>
        <w:ind w:firstLine="397"/>
        <w:jc w:val="both"/>
      </w:pPr>
      <w:r>
        <w:rPr>
          <w:rFonts w:ascii="Arial" w:cs="Arial" w:eastAsia="Arial" w:hAnsi="Arial"/>
          <w:sz w:val="24"/>
          <w:szCs w:val="24"/>
        </w:rPr>
        <w:t xml:space="preserve">1) развитие и укрепление материально-технической базы органов Государственной налоговой службы;</w:t>
      </w:r>
    </w:p>
    <w:p>
      <w:pPr>
        <w:spacing w:after="120"/>
        <w:ind w:firstLine="397"/>
        <w:jc w:val="both"/>
      </w:pPr>
      <w:r>
        <w:rPr>
          <w:rFonts w:ascii="Arial" w:cs="Arial" w:eastAsia="Arial" w:hAnsi="Arial"/>
          <w:sz w:val="24"/>
          <w:szCs w:val="24"/>
        </w:rPr>
        <w:t xml:space="preserve">2) проведение социально-культурных и спортивных мероприятий, организацию и проведение мероприятий по повышению профессиональных навыков для сотрудников органов налоговой службы;</w:t>
      </w:r>
    </w:p>
    <w:p>
      <w:pPr>
        <w:spacing w:after="120"/>
        <w:ind w:firstLine="397"/>
        <w:jc w:val="both"/>
      </w:pPr>
      <w:r>
        <w:rPr>
          <w:rFonts w:ascii="Arial" w:cs="Arial" w:eastAsia="Arial" w:hAnsi="Arial"/>
          <w:sz w:val="24"/>
          <w:szCs w:val="24"/>
        </w:rPr>
        <w:t xml:space="preserve">3) материальное поощрение и оказание помощи сотрудникам уполномоченного налогового органа в соответствии с порядком, утверждаемым председателем Государственной налоговой службы;</w:t>
      </w:r>
    </w:p>
    <w:p>
      <w:pPr>
        <w:spacing w:after="120"/>
        <w:ind w:firstLine="397"/>
        <w:jc w:val="both"/>
      </w:pPr>
      <w:r>
        <w:rPr>
          <w:rFonts w:ascii="Arial" w:cs="Arial" w:eastAsia="Arial" w:hAnsi="Arial"/>
          <w:sz w:val="24"/>
          <w:szCs w:val="24"/>
        </w:rPr>
        <w:t xml:space="preserve">4) ежемесячные выплаты сотрудникам Государственной налоговой службы, за исключением технического и младшего обслуживающего персонала, в размере, не превышающем 2,0 должностных окладов на постоянной основе;</w:t>
      </w:r>
    </w:p>
    <w:p>
      <w:pPr>
        <w:spacing w:after="120"/>
        <w:ind w:firstLine="397"/>
        <w:jc w:val="both"/>
      </w:pPr>
      <w:r>
        <w:rPr>
          <w:rFonts w:ascii="Arial" w:cs="Arial" w:eastAsia="Arial" w:hAnsi="Arial"/>
          <w:sz w:val="24"/>
          <w:szCs w:val="24"/>
        </w:rPr>
        <w:t xml:space="preserve">5) ежемесячные стимулирующие выплаты сотрудникам Государственной налоговой службы, за исключением технического и младшего обслуживающего персонала, в размере 0,5 должностного оклада - по результатам работы согласно решению руководителя Государственной налоговой службы;</w:t>
      </w:r>
    </w:p>
    <w:p>
      <w:pPr>
        <w:spacing w:after="120"/>
        <w:ind w:firstLine="397"/>
        <w:jc w:val="both"/>
      </w:pPr>
      <w:r>
        <w:rPr>
          <w:rFonts w:ascii="Arial" w:cs="Arial" w:eastAsia="Arial" w:hAnsi="Arial"/>
          <w:sz w:val="24"/>
          <w:szCs w:val="24"/>
        </w:rPr>
        <w:t xml:space="preserve">6) ежемесячные стимулирующие выплаты техническому и младшему обслуживающему персоналу органов налоговой службы в размере, не превышающем 1,5 должностного оклада;</w:t>
      </w:r>
    </w:p>
    <w:p>
      <w:pPr>
        <w:spacing w:after="120"/>
        <w:ind w:firstLine="397"/>
        <w:jc w:val="both"/>
      </w:pPr>
      <w:r>
        <w:rPr>
          <w:rFonts w:ascii="Arial" w:cs="Arial" w:eastAsia="Arial" w:hAnsi="Arial"/>
          <w:sz w:val="24"/>
          <w:szCs w:val="24"/>
        </w:rPr>
        <w:t xml:space="preserve">7) ежемесячные выплаты работникам государственного учреждения «Салык Сервис» при Государственной налоговой службе при Министерстве финансов Кыргызской Республики в размере, не превышающем 0,5 должностного оклада на постоянной основе;</w:t>
      </w:r>
    </w:p>
    <w:p>
      <w:pPr>
        <w:spacing w:after="120"/>
        <w:ind w:firstLine="397"/>
        <w:jc w:val="both"/>
      </w:pPr>
      <w:r>
        <w:rPr>
          <w:rFonts w:ascii="Arial" w:cs="Arial" w:eastAsia="Arial" w:hAnsi="Arial"/>
          <w:sz w:val="24"/>
          <w:szCs w:val="24"/>
        </w:rPr>
        <w:t xml:space="preserve">8) ежемесячные стимулирующие выплаты работникам государственного учреждения «Салык Сервис» при Государственной налоговой службе при Министерстве финансов Кыргызской Республики в размере 0,3 должностного оклада - по результатам работы согласно решению руководителя Государственной налоговой службы;</w:t>
      </w:r>
    </w:p>
    <w:p>
      <w:pPr>
        <w:spacing w:after="120"/>
        <w:ind w:firstLine="397"/>
        <w:jc w:val="both"/>
      </w:pPr>
      <w:r>
        <w:rPr>
          <w:rFonts w:ascii="Arial" w:cs="Arial" w:eastAsia="Arial" w:hAnsi="Arial"/>
          <w:sz w:val="24"/>
          <w:szCs w:val="24"/>
        </w:rPr>
        <w:t xml:space="preserve">9) другие мероприятия, направленные на улучшение деятельности налоговых органов.»;</w:t>
      </w:r>
    </w:p>
    <w:p>
      <w:pPr>
        <w:spacing w:after="120"/>
        <w:ind w:firstLine="397"/>
        <w:jc w:val="both"/>
      </w:pPr>
      <w:r>
        <w:rPr>
          <w:rFonts w:ascii="Arial" w:cs="Arial" w:eastAsia="Arial" w:hAnsi="Arial"/>
          <w:sz w:val="24"/>
          <w:szCs w:val="24"/>
        </w:rPr>
        <w:t xml:space="preserve">- абзац третий </w:t>
      </w:r>
      <w:hyperlink w:history="1" r:id="rIdbynhmdzoloz_8w7nr8hic">
        <w:r>
          <w:rPr>
            <w:rFonts w:ascii="Arial" w:cs="Arial" w:eastAsia="Arial" w:hAnsi="Arial"/>
            <w:color w:val="1D4ED8"/>
            <w:sz w:val="24"/>
            <w:szCs w:val="24"/>
            <w:u w:val="single"/>
          </w:rPr>
          <w:t xml:space="preserve">пункта 4</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«За неисполнение поставленных задач и функциональных обязанностей государственный гражданский служащий Государственной налоговой службы и работник государственного учреждения «Салык Сервис» при Государственной налоговой службе при Министерстве финансов Кыргызской Республики могут быть лишены стимулирующей выплаты. Перечень случаев, при которых допускается лишение стимулирующей выплаты к заработной плате, утверждается председателем Государственной налоговой службы.».</w:t>
      </w:r>
    </w:p>
    <w:p>
      <w:pPr>
        <w:spacing w:after="120"/>
        <w:ind w:firstLine="397"/>
        <w:jc w:val="both"/>
      </w:pPr>
      <w:r>
        <w:rPr>
          <w:rFonts w:ascii="Arial" w:cs="Arial" w:eastAsia="Arial" w:hAnsi="Arial"/>
          <w:sz w:val="24"/>
          <w:szCs w:val="24"/>
        </w:rPr>
        <w:t xml:space="preserve">4. Министерству финансов Кыргызской Республики при разработке проекта Закона Кыргызской Республики «О внесении изменений в </w:t>
      </w:r>
      <w:hyperlink w:history="1" r:id="rIdua1v613heoyqx-j2gtrw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республиканском бюджете Кыргызской Республики на 2024 год и плановый период 2025-2026 годов» предусмотреть изменения, вытекающие из настоящего постановления.</w:t>
      </w:r>
    </w:p>
    <w:p>
      <w:pPr>
        <w:spacing w:after="120"/>
        <w:ind w:firstLine="397"/>
        <w:jc w:val="both"/>
      </w:pPr>
      <w:r>
        <w:rPr>
          <w:rFonts w:ascii="Arial" w:cs="Arial" w:eastAsia="Arial" w:hAnsi="Arial"/>
          <w:sz w:val="24"/>
          <w:szCs w:val="24"/>
        </w:rPr>
        <w:t xml:space="preserve">5. Государственной налоговой службе при Министерстве финансов Кыргызской Республики привести свои решения в соответствие с настоящим постановлением.</w:t>
      </w:r>
    </w:p>
    <w:p>
      <w:pPr>
        <w:spacing w:after="120"/>
        <w:ind w:firstLine="397"/>
        <w:jc w:val="both"/>
      </w:pPr>
      <w:r>
        <w:rPr>
          <w:rFonts w:ascii="Arial" w:cs="Arial" w:eastAsia="Arial" w:hAnsi="Arial"/>
          <w:sz w:val="24"/>
          <w:szCs w:val="24"/>
        </w:rPr>
        <w:t xml:space="preserve">6. Настоящее постановление вступает в силу с 1 мая 2024 года и подлежит официальному опубликованию.</w:t>
      </w:r>
    </w:p>
    <w:p>
      <w:pPr>
        <w:spacing w:after="120"/>
        <w:ind w:firstLine="397"/>
        <w:jc w:val="both"/>
      </w:pPr>
      <w:r>
        <w:rPr>
          <w:rFonts w:ascii="Arial" w:cs="Arial" w:eastAsia="Arial" w:hAnsi="Arial"/>
          <w:i/>
          <w:iCs/>
          <w:sz w:val="24"/>
          <w:szCs w:val="24"/>
        </w:rPr>
        <w:t xml:space="preserve">Опубликовано на официальном сайте www.gov.kg от 14 июня 2024 года</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А.У. Жапаров</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hyperlink w:history="1" r:id="rIdcv9kzdclfygox-0sedcti">
        <w:r>
          <w:rPr>
            <w:rFonts w:ascii="Arial" w:cs="Arial" w:eastAsia="Arial" w:hAnsi="Arial"/>
            <w:color w:val="1D4ED8"/>
            <w:sz w:val="24"/>
            <w:szCs w:val="24"/>
            <w:u w:val="single"/>
          </w:rPr>
          <w:t xml:space="preserve">Приложение 3</w:t>
        </w:r>
      </w:hyperlink>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Коэффициенты кратности </w:t>
      </w:r>
    </w:p>
    <w:p>
      <w:pPr>
        <w:spacing w:after="240" w:before="200"/>
        <w:jc w:val="center"/>
      </w:pPr>
      <w:r>
        <w:rPr>
          <w:rFonts w:ascii="Arial" w:cs="Arial" w:eastAsia="Arial" w:hAnsi="Arial"/>
          <w:b/>
          <w:bCs/>
          <w:sz w:val="32"/>
          <w:szCs w:val="32"/>
        </w:rPr>
        <w:t xml:space="preserve">к должностным окладам, применяемые при </w:t>
      </w:r>
    </w:p>
    <w:p>
      <w:pPr>
        <w:spacing w:after="240" w:before="200"/>
        <w:jc w:val="center"/>
      </w:pPr>
      <w:r>
        <w:rPr>
          <w:rFonts w:ascii="Arial" w:cs="Arial" w:eastAsia="Arial" w:hAnsi="Arial"/>
          <w:b/>
          <w:bCs/>
          <w:sz w:val="32"/>
          <w:szCs w:val="32"/>
        </w:rPr>
        <w:t xml:space="preserve">определении размеров должностных окладов </w:t>
      </w:r>
    </w:p>
    <w:p>
      <w:pPr>
        <w:spacing w:after="240" w:before="200"/>
        <w:jc w:val="center"/>
      </w:pPr>
      <w:r>
        <w:rPr>
          <w:rFonts w:ascii="Arial" w:cs="Arial" w:eastAsia="Arial" w:hAnsi="Arial"/>
          <w:b/>
          <w:bCs/>
          <w:sz w:val="32"/>
          <w:szCs w:val="32"/>
        </w:rPr>
        <w:t xml:space="preserve">работников государственного учреждения «Салык </w:t>
      </w:r>
    </w:p>
    <w:p>
      <w:pPr>
        <w:spacing w:after="240" w:before="200"/>
        <w:jc w:val="center"/>
      </w:pPr>
      <w:r>
        <w:rPr>
          <w:rFonts w:ascii="Arial" w:cs="Arial" w:eastAsia="Arial" w:hAnsi="Arial"/>
          <w:b/>
          <w:bCs/>
          <w:sz w:val="32"/>
          <w:szCs w:val="32"/>
        </w:rPr>
        <w:t xml:space="preserve">Сервис» при Государственной налоговой службе при </w:t>
      </w:r>
    </w:p>
    <w:p>
      <w:pPr>
        <w:spacing w:after="240" w:before="200"/>
        <w:jc w:val="center"/>
      </w:pPr>
      <w:r>
        <w:rPr>
          <w:rFonts w:ascii="Arial" w:cs="Arial" w:eastAsia="Arial" w:hAnsi="Arial"/>
          <w:b/>
          <w:bCs/>
          <w:sz w:val="32"/>
          <w:szCs w:val="32"/>
        </w:rPr>
        <w:t xml:space="preserve">Министерстве финансов Кыргызской Республики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0"/>
        <w:gridCol w:w="7770"/>
        <w:gridCol w:w="2068"/>
      </w:tblGrid>
      <w:tr>
        <w:tc>
          <w:tcPr>
            <w:tcW w:type="dxa" w:w="340"/>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777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должностей</w:t>
            </w:r>
          </w:p>
        </w:tc>
        <w:tc>
          <w:tcPr>
            <w:tcW w:type="dxa" w:w="20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Коэффициенты</w:t>
            </w:r>
          </w:p>
          <w:p>
            <w:pPr>
              <w:jc w:val="center"/>
            </w:pPr>
            <w:r>
              <w:rPr>
                <w:rFonts w:ascii="Arial" w:cs="Arial" w:eastAsia="Arial" w:hAnsi="Arial"/>
                <w:b/>
                <w:bCs/>
                <w:sz w:val="24"/>
                <w:szCs w:val="24"/>
              </w:rPr>
              <w:t xml:space="preserve">кратности</w:t>
            </w:r>
          </w:p>
        </w:tc>
      </w:tr>
      <w:tr>
        <w:tc>
          <w:tcPr>
            <w:tcW w:type="dxa" w:w="3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Директор, заместитель директора</w:t>
            </w:r>
          </w:p>
        </w:tc>
        <w:tc>
          <w:tcPr>
            <w:tcW w:type="dxa" w:w="2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35,55</w:t>
            </w:r>
          </w:p>
        </w:tc>
      </w:tr>
      <w:tr>
        <w:tc>
          <w:tcPr>
            <w:tcW w:type="dxa" w:w="3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7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Руководитель структурного подразделения по разработке программного обеспечения</w:t>
            </w:r>
          </w:p>
        </w:tc>
        <w:tc>
          <w:tcPr>
            <w:tcW w:type="dxa" w:w="2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45,50</w:t>
            </w:r>
          </w:p>
        </w:tc>
      </w:tr>
      <w:tr>
        <w:tc>
          <w:tcPr>
            <w:tcW w:type="dxa" w:w="3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7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Руководитель структурного подразделения по системно-сетевому администрированию</w:t>
            </w:r>
          </w:p>
        </w:tc>
        <w:tc>
          <w:tcPr>
            <w:tcW w:type="dxa" w:w="2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36,95</w:t>
            </w:r>
          </w:p>
        </w:tc>
      </w:tr>
      <w:tr>
        <w:tc>
          <w:tcPr>
            <w:tcW w:type="dxa" w:w="3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7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Руководитель структурного подразделения по проектной деятельности</w:t>
            </w:r>
          </w:p>
        </w:tc>
        <w:tc>
          <w:tcPr>
            <w:tcW w:type="dxa" w:w="2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31,25</w:t>
            </w:r>
          </w:p>
        </w:tc>
      </w:tr>
      <w:tr>
        <w:tc>
          <w:tcPr>
            <w:tcW w:type="dxa" w:w="3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7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Руководитель структурного подразделения по технической поддержке и тестированию</w:t>
            </w:r>
          </w:p>
        </w:tc>
        <w:tc>
          <w:tcPr>
            <w:tcW w:type="dxa" w:w="2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17,05</w:t>
            </w:r>
          </w:p>
        </w:tc>
      </w:tr>
      <w:tr>
        <w:tc>
          <w:tcPr>
            <w:tcW w:type="dxa" w:w="3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7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Главный программист</w:t>
            </w:r>
          </w:p>
        </w:tc>
        <w:tc>
          <w:tcPr>
            <w:tcW w:type="dxa" w:w="2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41,20</w:t>
            </w:r>
          </w:p>
        </w:tc>
      </w:tr>
      <w:tr>
        <w:tc>
          <w:tcPr>
            <w:tcW w:type="dxa" w:w="3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7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Ведущий программист</w:t>
            </w:r>
          </w:p>
        </w:tc>
        <w:tc>
          <w:tcPr>
            <w:tcW w:type="dxa" w:w="2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36,25</w:t>
            </w:r>
          </w:p>
        </w:tc>
      </w:tr>
      <w:tr>
        <w:tc>
          <w:tcPr>
            <w:tcW w:type="dxa" w:w="3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7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Старший программист</w:t>
            </w:r>
          </w:p>
        </w:tc>
        <w:tc>
          <w:tcPr>
            <w:tcW w:type="dxa" w:w="2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32,00</w:t>
            </w:r>
          </w:p>
        </w:tc>
      </w:tr>
      <w:tr>
        <w:tc>
          <w:tcPr>
            <w:tcW w:type="dxa" w:w="3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7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Системный аналитик, старший системный администратор</w:t>
            </w:r>
          </w:p>
        </w:tc>
        <w:tc>
          <w:tcPr>
            <w:tcW w:type="dxa" w:w="2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28,45</w:t>
            </w:r>
          </w:p>
        </w:tc>
      </w:tr>
      <w:tr>
        <w:tc>
          <w:tcPr>
            <w:tcW w:type="dxa" w:w="3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7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Инженер программист</w:t>
            </w:r>
          </w:p>
        </w:tc>
        <w:tc>
          <w:tcPr>
            <w:tcW w:type="dxa" w:w="2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27,70</w:t>
            </w:r>
          </w:p>
        </w:tc>
      </w:tr>
      <w:tr>
        <w:tc>
          <w:tcPr>
            <w:tcW w:type="dxa" w:w="3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7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Старший аналитик</w:t>
            </w:r>
          </w:p>
        </w:tc>
        <w:tc>
          <w:tcPr>
            <w:tcW w:type="dxa" w:w="2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22,75</w:t>
            </w:r>
          </w:p>
        </w:tc>
      </w:tr>
      <w:tr>
        <w:tc>
          <w:tcPr>
            <w:tcW w:type="dxa" w:w="3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7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Администратор базы данных, дизайнер, консультант, программист, сетевой администратор, системный администратор, аналитик</w:t>
            </w:r>
          </w:p>
        </w:tc>
        <w:tc>
          <w:tcPr>
            <w:tcW w:type="dxa" w:w="2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21,35</w:t>
            </w:r>
          </w:p>
        </w:tc>
      </w:tr>
      <w:tr>
        <w:tc>
          <w:tcPr>
            <w:tcW w:type="dxa" w:w="3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7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Специалист по информационной безопасности</w:t>
            </w:r>
          </w:p>
        </w:tc>
        <w:tc>
          <w:tcPr>
            <w:tcW w:type="dxa" w:w="2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19,90</w:t>
            </w:r>
          </w:p>
        </w:tc>
      </w:tr>
      <w:tr>
        <w:tc>
          <w:tcPr>
            <w:tcW w:type="dxa" w:w="3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7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Младший аналитик, младший программист</w:t>
            </w:r>
          </w:p>
        </w:tc>
        <w:tc>
          <w:tcPr>
            <w:tcW w:type="dxa" w:w="2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15,65</w:t>
            </w:r>
          </w:p>
        </w:tc>
      </w:tr>
      <w:tr>
        <w:tc>
          <w:tcPr>
            <w:tcW w:type="dxa" w:w="3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7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Старший тестировщик</w:t>
            </w:r>
          </w:p>
        </w:tc>
        <w:tc>
          <w:tcPr>
            <w:tcW w:type="dxa" w:w="2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12,80</w:t>
            </w:r>
          </w:p>
        </w:tc>
      </w:tr>
      <w:tr>
        <w:tc>
          <w:tcPr>
            <w:tcW w:type="dxa" w:w="3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7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Оператор технической поддержки, тестировщик</w:t>
            </w:r>
          </w:p>
        </w:tc>
        <w:tc>
          <w:tcPr>
            <w:tcW w:type="dxa" w:w="2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9,95</w:t>
            </w:r>
          </w:p>
        </w:tc>
      </w:tr>
      <w:tr>
        <w:tc>
          <w:tcPr>
            <w:tcW w:type="dxa" w:w="3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7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Специалист (по кадровой работе, по административным вопросам)</w:t>
            </w:r>
          </w:p>
        </w:tc>
        <w:tc>
          <w:tcPr>
            <w:tcW w:type="dxa" w:w="2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7,15</w:t>
            </w:r>
          </w:p>
        </w:tc>
      </w:tr>
      <w:tr>
        <w:tc>
          <w:tcPr>
            <w:tcW w:type="dxa" w:w="3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7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Начальник отдела</w:t>
            </w:r>
          </w:p>
        </w:tc>
        <w:tc>
          <w:tcPr>
            <w:tcW w:type="dxa" w:w="2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12,75</w:t>
            </w:r>
          </w:p>
        </w:tc>
      </w:tr>
      <w:tr>
        <w:tc>
          <w:tcPr>
            <w:tcW w:type="dxa" w:w="3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19</w:t>
            </w:r>
          </w:p>
        </w:tc>
        <w:tc>
          <w:tcPr>
            <w:tcW w:type="dxa" w:w="7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Старший оператор технической поддержки</w:t>
            </w:r>
          </w:p>
        </w:tc>
        <w:tc>
          <w:tcPr>
            <w:tcW w:type="dxa" w:w="2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12,80</w:t>
            </w:r>
          </w:p>
        </w:tc>
      </w:tr>
      <w:tr>
        <w:tc>
          <w:tcPr>
            <w:tcW w:type="dxa" w:w="3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20</w:t>
            </w:r>
          </w:p>
        </w:tc>
        <w:tc>
          <w:tcPr>
            <w:tcW w:type="dxa" w:w="7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DevOps инженер (системный администратор)</w:t>
            </w:r>
          </w:p>
        </w:tc>
        <w:tc>
          <w:tcPr>
            <w:tcW w:type="dxa" w:w="2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28,45</w:t>
            </w:r>
          </w:p>
        </w:tc>
      </w:tr>
      <w:tr>
        <w:tc>
          <w:tcPr>
            <w:tcW w:type="dxa" w:w="3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21</w:t>
            </w:r>
          </w:p>
        </w:tc>
        <w:tc>
          <w:tcPr>
            <w:tcW w:type="dxa" w:w="7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Главный специалист</w:t>
            </w:r>
          </w:p>
        </w:tc>
        <w:tc>
          <w:tcPr>
            <w:tcW w:type="dxa" w:w="2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r>
      <w:tr>
        <w:tc>
          <w:tcPr>
            <w:tcW w:type="dxa" w:w="3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22</w:t>
            </w:r>
          </w:p>
        </w:tc>
        <w:tc>
          <w:tcPr>
            <w:tcW w:type="dxa" w:w="7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Ведущий специалист</w:t>
            </w:r>
          </w:p>
        </w:tc>
        <w:tc>
          <w:tcPr>
            <w:tcW w:type="dxa" w:w="2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9,55</w:t>
            </w:r>
          </w:p>
        </w:tc>
      </w:tr>
      <w:tr>
        <w:tc>
          <w:tcPr>
            <w:tcW w:type="dxa" w:w="3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23</w:t>
            </w:r>
          </w:p>
        </w:tc>
        <w:tc>
          <w:tcPr>
            <w:tcW w:type="dxa" w:w="7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Специалист</w:t>
            </w:r>
          </w:p>
        </w:tc>
        <w:tc>
          <w:tcPr>
            <w:tcW w:type="dxa" w:w="2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8,55</w:t>
            </w:r>
          </w:p>
        </w:tc>
      </w:tr>
      <w:tr>
        <w:tc>
          <w:tcPr>
            <w:tcW w:type="dxa" w:w="3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24</w:t>
            </w:r>
          </w:p>
        </w:tc>
        <w:tc>
          <w:tcPr>
            <w:tcW w:type="dxa" w:w="7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Главный эксперт</w:t>
            </w:r>
          </w:p>
        </w:tc>
        <w:tc>
          <w:tcPr>
            <w:tcW w:type="dxa" w:w="2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12,50</w:t>
            </w:r>
          </w:p>
        </w:tc>
      </w:tr>
      <w:tr>
        <w:tc>
          <w:tcPr>
            <w:tcW w:type="dxa" w:w="3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25</w:t>
            </w:r>
          </w:p>
        </w:tc>
        <w:tc>
          <w:tcPr>
            <w:tcW w:type="dxa" w:w="7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Эксперт</w:t>
            </w:r>
          </w:p>
        </w:tc>
        <w:tc>
          <w:tcPr>
            <w:tcW w:type="dxa" w:w="2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w:t>
            </w:r>
          </w:p>
        </w:tc>
      </w:tr>
      <w:tr>
        <w:tc>
          <w:tcPr>
            <w:tcW w:type="dxa" w:w="3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26</w:t>
            </w:r>
          </w:p>
        </w:tc>
        <w:tc>
          <w:tcPr>
            <w:tcW w:type="dxa" w:w="7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Специалист по пиару</w:t>
            </w:r>
          </w:p>
        </w:tc>
        <w:tc>
          <w:tcPr>
            <w:tcW w:type="dxa" w:w="2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9,95</w:t>
            </w:r>
          </w:p>
        </w:tc>
      </w:tr>
      <w:tr>
        <w:tc>
          <w:tcPr>
            <w:tcW w:type="dxa" w:w="3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27</w:t>
            </w:r>
          </w:p>
        </w:tc>
        <w:tc>
          <w:tcPr>
            <w:tcW w:type="dxa" w:w="7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Инженер-программист систем отчетностей</w:t>
            </w:r>
          </w:p>
        </w:tc>
        <w:tc>
          <w:tcPr>
            <w:tcW w:type="dxa" w:w="2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r>
      <w:tr>
        <w:tc>
          <w:tcPr>
            <w:tcW w:type="dxa" w:w="3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28</w:t>
            </w:r>
          </w:p>
        </w:tc>
        <w:tc>
          <w:tcPr>
            <w:tcW w:type="dxa" w:w="7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Младший системный администратор</w:t>
            </w:r>
          </w:p>
        </w:tc>
        <w:tc>
          <w:tcPr>
            <w:tcW w:type="dxa" w:w="2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12,80</w:t>
            </w:r>
          </w:p>
        </w:tc>
      </w:tr>
      <w:tr>
        <w:tc>
          <w:tcPr>
            <w:tcW w:type="dxa" w:w="3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29</w:t>
            </w:r>
          </w:p>
        </w:tc>
        <w:tc>
          <w:tcPr>
            <w:tcW w:type="dxa" w:w="7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Бухгалтер, юрист</w:t>
            </w:r>
          </w:p>
        </w:tc>
        <w:tc>
          <w:tcPr>
            <w:tcW w:type="dxa" w:w="2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17,65</w:t>
            </w:r>
          </w:p>
        </w:tc>
      </w:tr>
      <w:tr>
        <w:tc>
          <w:tcPr>
            <w:tcW w:type="dxa" w:w="3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30</w:t>
            </w:r>
          </w:p>
        </w:tc>
        <w:tc>
          <w:tcPr>
            <w:tcW w:type="dxa" w:w="7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Водитель</w:t>
            </w:r>
          </w:p>
        </w:tc>
        <w:tc>
          <w:tcPr>
            <w:tcW w:type="dxa" w:w="2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5,70</w:t>
            </w:r>
          </w:p>
        </w:tc>
      </w:tr>
      <w:tr>
        <w:tc>
          <w:tcPr>
            <w:tcW w:type="dxa" w:w="3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w:t>
            </w:r>
          </w:p>
        </w:tc>
        <w:tc>
          <w:tcPr>
            <w:tcW w:type="dxa" w:w="77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Делопроизводитель</w:t>
            </w:r>
          </w:p>
        </w:tc>
        <w:tc>
          <w:tcPr>
            <w:tcW w:type="dxa" w:w="2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4,30</w:t>
            </w:r>
          </w:p>
        </w:tc>
      </w:tr>
    </w:tbl>
    <w:p>
      <w:pPr>
        <w:spacing w:after="120"/>
        <w:ind w:firstLine="397"/>
        <w:jc w:val="right"/>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ngma6v-yectpb1dcwasi">
      <w:r>
        <w:rPr>
          <w:rFonts w:ascii="Arial" w:cs="Arial" w:eastAsia="Arial" w:hAnsi="Arial"/>
          <w:color w:val="132D3F"/>
          <w:sz w:val="16"/>
          <w:szCs w:val="16"/>
          <w:u w:val="single"/>
        </w:rPr>
        <w:t xml:space="preserve">dalil.kg/document/230011166</w:t>
      </w:r>
    </w:hyperlink>
  </w:p>
  <w:p>
    <w:pPr>
      <w:spacing w:after="0" w:before="40"/>
      <w:jc w:val="center"/>
    </w:pPr>
    <w:hyperlink w:history="1" r:id="rIdab23bw9-xkukhyz-ri6i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zcbttjj2deahbucycim4" Type="http://schemas.openxmlformats.org/officeDocument/2006/relationships/hyperlink" Target="https://dalil.kg/document/230019464" TargetMode="External"/><Relationship Id="rIdchnnggrg5jxwq1h1zs5nf" Type="http://schemas.openxmlformats.org/officeDocument/2006/relationships/hyperlink" Target="https://dalil.kg/document/112301#st_13" TargetMode="External"/><Relationship Id="rIdqwfmnmb5v2gcahr5rcvfa" Type="http://schemas.openxmlformats.org/officeDocument/2006/relationships/hyperlink" Target="https://dalil.kg/document/112301#st_17" TargetMode="External"/><Relationship Id="rIdyty_olrq19-unligyvhf5" Type="http://schemas.openxmlformats.org/officeDocument/2006/relationships/hyperlink" Target="https://dalil.kg/document/230019464" TargetMode="External"/><Relationship Id="rIdfpdg5umr38q6yocklikfq" Type="http://schemas.openxmlformats.org/officeDocument/2006/relationships/hyperlink" Target="https://dalil.kg/document/159259" TargetMode="External"/><Relationship Id="rIdr31x3qd7qikkjwl6sjnuj" Type="http://schemas.openxmlformats.org/officeDocument/2006/relationships/hyperlink" Target="https://dalil.kg/document/159259#p5" TargetMode="External"/><Relationship Id="rIdqcq9k9f7na_f7lliqautw" Type="http://schemas.openxmlformats.org/officeDocument/2006/relationships/hyperlink" Target="https://dalil.kg/document/159259#p5_1" TargetMode="External"/><Relationship Id="rIdpwvoakutetrmntkepenmm" Type="http://schemas.openxmlformats.org/officeDocument/2006/relationships/hyperlink" Target="https://dalil.kg/document/159259#pr3" TargetMode="External"/><Relationship Id="rId94jq7zejncubsxm7gut-u" Type="http://schemas.openxmlformats.org/officeDocument/2006/relationships/hyperlink" Target="https://dalil.kg/document/159259#pr3" TargetMode="External"/><Relationship Id="rIdyjqmejqmqcarcdoy6vao4" Type="http://schemas.openxmlformats.org/officeDocument/2006/relationships/hyperlink" Target="https://dalil.kg/document/230011166#pr" TargetMode="External"/><Relationship Id="rId_qdixcvg22vbqydu303zk" Type="http://schemas.openxmlformats.org/officeDocument/2006/relationships/hyperlink" Target="https://dalil.kg/document/230011166" TargetMode="External"/><Relationship Id="rId9gmnjinp-bqj5fpni18qi" Type="http://schemas.openxmlformats.org/officeDocument/2006/relationships/hyperlink" Target="https://dalil.kg/document/159260" TargetMode="External"/><Relationship Id="rIdrer29p74ruaejrh1hfhxk" Type="http://schemas.openxmlformats.org/officeDocument/2006/relationships/hyperlink" Target="https://dalil.kg/document/159259" TargetMode="External"/><Relationship Id="rIdrxbwavumgwhfr2gus32lm" Type="http://schemas.openxmlformats.org/officeDocument/2006/relationships/hyperlink" Target="https://dalil.kg/document/159260#p12" TargetMode="External"/><Relationship Id="rIdzlya_3n6modw2is4jxava" Type="http://schemas.openxmlformats.org/officeDocument/2006/relationships/hyperlink" Target="https://dalil.kg/document/159260#p25" TargetMode="External"/><Relationship Id="rIdne_tcuoflrnbn9ejduyiy" Type="http://schemas.openxmlformats.org/officeDocument/2006/relationships/hyperlink" Target="https://dalil.kg/document/159142" TargetMode="External"/><Relationship Id="rId9392txz518e9lrr4t7dm3" Type="http://schemas.openxmlformats.org/officeDocument/2006/relationships/hyperlink" Target="https://dalil.kg/document/159148" TargetMode="External"/><Relationship Id="rIdjidulz_vgkyfuy8slkacd" Type="http://schemas.openxmlformats.org/officeDocument/2006/relationships/hyperlink" Target="https://dalil.kg/document/159148" TargetMode="External"/><Relationship Id="rIdiiyubflvaw7jbwifxejyr" Type="http://schemas.openxmlformats.org/officeDocument/2006/relationships/hyperlink" Target="https://dalil.kg/document/159142" TargetMode="External"/><Relationship Id="rIdjgchxlrll8lbkutq7m12v" Type="http://schemas.openxmlformats.org/officeDocument/2006/relationships/hyperlink" Target="https://dalil.kg/document/159148#p1" TargetMode="External"/><Relationship Id="rIduc8i9s5mhzsxn905wyo_k" Type="http://schemas.openxmlformats.org/officeDocument/2006/relationships/hyperlink" Target="https://dalil.kg/document/159148#p2" TargetMode="External"/><Relationship Id="rIdonlyh3x3evzrnxixug78g" Type="http://schemas.openxmlformats.org/officeDocument/2006/relationships/hyperlink" Target="https://dalil.kg/document/159148#p3" TargetMode="External"/><Relationship Id="rIdbynhmdzoloz_8w7nr8hic" Type="http://schemas.openxmlformats.org/officeDocument/2006/relationships/hyperlink" Target="https://dalil.kg/document/159148#p4" TargetMode="External"/><Relationship Id="rIdua1v613heoyqx-j2gtrwy" Type="http://schemas.openxmlformats.org/officeDocument/2006/relationships/hyperlink" Target="https://dalil.kg/document/230000489" TargetMode="External"/><Relationship Id="rIdcv9kzdclfygox-0sedcti" Type="http://schemas.openxmlformats.org/officeDocument/2006/relationships/hyperlink" Target="https://dalil.kg/document/159259#pr3" TargetMode="External"/><Relationship Id="rId8" Type="http://schemas.openxmlformats.org/officeDocument/2006/relationships/image" Target="media/8de64316e95979c063c17bcd5380dc052a2594e9.png"/><Relationship Id="rId3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ngma6v-yectpb1dcwasi" Type="http://schemas.openxmlformats.org/officeDocument/2006/relationships/hyperlink" Target="https://dalil.kg/document/230011166" TargetMode="External"/><Relationship Id="rIdab23bw9-xkukhyz-ri6i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2026-09-23T23:14:54.066Z</dcterms:created>
  <dcterms:modified xsi:type="dcterms:W3CDTF">2026-09-23T23:14:54.066Z</dcterms:modified>
</cp:coreProperties>
</file>

<file path=docProps/custom.xml><?xml version="1.0" encoding="utf-8"?>
<Properties xmlns="http://schemas.openxmlformats.org/officeDocument/2006/custom-properties" xmlns:vt="http://schemas.openxmlformats.org/officeDocument/2006/docPropsVTypes"/>
</file>