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23 июля 2024 года </w:t>
      </w:r>
      <w:r>
        <w:rPr>
          <w:rFonts w:ascii="Arial" w:cs="Arial" w:eastAsia="Arial" w:hAnsi="Arial"/>
          <w:sz w:val="24"/>
          <w:szCs w:val="24"/>
        </w:rPr>
        <w:t xml:space="preserve">№</w:t>
      </w:r>
      <w:r>
        <w:rPr>
          <w:rFonts w:ascii="Arial" w:cs="Arial" w:eastAsia="Arial" w:hAnsi="Arial"/>
          <w:sz w:val="24"/>
          <w:szCs w:val="24"/>
        </w:rPr>
        <w:t xml:space="preserve"> 410</w:t>
      </w:r>
    </w:p>
    <w:p>
      <w:pPr>
        <w:spacing w:after="400" w:before="400"/>
        <w:jc w:val="center"/>
      </w:pPr>
      <w:r>
        <w:rPr>
          <w:rFonts w:ascii="Arial" w:cs="Arial" w:eastAsia="Arial" w:hAnsi="Arial"/>
          <w:b/>
          <w:bCs/>
          <w:sz w:val="28"/>
          <w:szCs w:val="28"/>
        </w:rPr>
        <w:t xml:space="preserve">О внесении изменений в некоторые постановления Кабинета Министров Кыргызской Республики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В целях полноценного и качественного обеспечения государственного контроля и надзора за соблюдением требований нормативных правовых актов и технических регламентов в сфере экологического и технического надзора, в соответствии со статьями </w:t>
      </w:r>
      <w:hyperlink w:history="1" r:id="rIdl2nungqsw5ooeucgssoc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az0kyqmvep1u1ecodlp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hy639wv2zehsg0yqnkb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природных ресурсов, экологии и технического надзора Кыргызской Республики" от 24 декабря 2021 года № 338 следующее изменение:</w:t>
      </w:r>
    </w:p>
    <w:p>
      <w:pPr>
        <w:spacing w:after="60"/>
        <w:ind w:firstLine="567"/>
        <w:jc w:val="both"/>
      </w:pPr>
      <w:r>
        <w:rPr>
          <w:rFonts w:ascii="Arial" w:cs="Arial" w:eastAsia="Arial" w:hAnsi="Arial"/>
          <w:sz w:val="24"/>
          <w:szCs w:val="24"/>
        </w:rPr>
        <w:t xml:space="preserve">в </w:t>
      </w:r>
      <w:hyperlink w:history="1" r:id="rIdlu78gnw8lvuueqvexixl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Службе экологического и технического надзора при Министерстве природных ресурсов, экологии и технического надзора Кыргызской Республики, утвержденном вышеуказанным </w:t>
      </w:r>
      <w:hyperlink w:history="1" r:id="rIdkipra6remx8vuwawa26l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двадцать второй подпункта 1 пункта 10 после слова "механизированных" дополнить словами "и немеханизированных".</w:t>
      </w:r>
    </w:p>
    <w:p>
      <w:pPr>
        <w:spacing w:after="60"/>
        <w:ind w:firstLine="567"/>
        <w:jc w:val="both"/>
      </w:pPr>
      <w:r>
        <w:rPr>
          <w:rFonts w:ascii="Arial" w:cs="Arial" w:eastAsia="Arial" w:hAnsi="Arial"/>
          <w:sz w:val="24"/>
          <w:szCs w:val="24"/>
        </w:rPr>
        <w:t xml:space="preserve">2. Внести в </w:t>
      </w:r>
      <w:hyperlink w:history="1" r:id="rIdg5zyj3tv6uylhw3orzgv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l9tenxqhd4sht-fohfvwi">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безопасной эксплуатации аттракционов" от 12 апреля 2024 года № 171 следующие изменения:</w:t>
      </w:r>
    </w:p>
    <w:p>
      <w:pPr>
        <w:spacing w:after="60"/>
        <w:ind w:firstLine="567"/>
        <w:jc w:val="both"/>
      </w:pPr>
      <w:r>
        <w:rPr>
          <w:rFonts w:ascii="Arial" w:cs="Arial" w:eastAsia="Arial" w:hAnsi="Arial"/>
          <w:sz w:val="24"/>
          <w:szCs w:val="24"/>
        </w:rPr>
        <w:t xml:space="preserve">в </w:t>
      </w:r>
      <w:hyperlink w:history="1" r:id="rIdwkudt9ocn8pt-rs2-xady">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безопасной эксплуатации аттракционов, утвержденных вышеуказанным </w:t>
      </w:r>
      <w:hyperlink w:history="1" r:id="rIdrjf8dmeatxwostaddqp6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2, 3 изложить в следующей редакции:</w:t>
      </w:r>
    </w:p>
    <w:p>
      <w:pPr>
        <w:spacing w:after="60"/>
        <w:ind w:firstLine="567"/>
        <w:jc w:val="both"/>
      </w:pPr>
      <w:r>
        <w:rPr>
          <w:rFonts w:ascii="Arial" w:cs="Arial" w:eastAsia="Arial" w:hAnsi="Arial"/>
          <w:sz w:val="24"/>
          <w:szCs w:val="24"/>
        </w:rPr>
        <w:t xml:space="preserve">"2. Настоящие Правила распространяются на временно устанавливаемые (перевозимые) аттракционы и стационарные аттракционы (собранные на фундаментах или без фундаментов), при пользовании которыми на пассажиров оказывается биомеханическое воздействие степени потенциального биомеханического риска RB-1, или RB-2, или RB-3.</w:t>
      </w:r>
    </w:p>
    <w:p>
      <w:pPr>
        <w:spacing w:after="60"/>
        <w:ind w:firstLine="567"/>
        <w:jc w:val="both"/>
      </w:pPr>
      <w:r>
        <w:rPr>
          <w:rFonts w:ascii="Arial" w:cs="Arial" w:eastAsia="Arial" w:hAnsi="Arial"/>
          <w:sz w:val="24"/>
          <w:szCs w:val="24"/>
        </w:rPr>
        <w:t xml:space="preserve">3. Аттракционы подразделяются на следующие виды:</w:t>
      </w:r>
    </w:p>
    <w:p>
      <w:pPr>
        <w:spacing w:after="60"/>
        <w:ind w:firstLine="567"/>
        <w:jc w:val="both"/>
      </w:pPr>
      <w:r>
        <w:rPr>
          <w:rFonts w:ascii="Arial" w:cs="Arial" w:eastAsia="Arial" w:hAnsi="Arial"/>
          <w:sz w:val="24"/>
          <w:szCs w:val="24"/>
        </w:rPr>
        <w:t xml:space="preserve">- аттракционы механизированные поступательного движения (в том числе с использованием воды);</w:t>
      </w:r>
    </w:p>
    <w:p>
      <w:pPr>
        <w:spacing w:after="60"/>
        <w:ind w:firstLine="567"/>
        <w:jc w:val="both"/>
      </w:pPr>
      <w:r>
        <w:rPr>
          <w:rFonts w:ascii="Arial" w:cs="Arial" w:eastAsia="Arial" w:hAnsi="Arial"/>
          <w:sz w:val="24"/>
          <w:szCs w:val="24"/>
        </w:rPr>
        <w:t xml:space="preserve">- аттракционы механизированные вращательного движения;</w:t>
      </w:r>
    </w:p>
    <w:p>
      <w:pPr>
        <w:spacing w:after="60"/>
        <w:ind w:firstLine="567"/>
        <w:jc w:val="both"/>
      </w:pPr>
      <w:r>
        <w:rPr>
          <w:rFonts w:ascii="Arial" w:cs="Arial" w:eastAsia="Arial" w:hAnsi="Arial"/>
          <w:sz w:val="24"/>
          <w:szCs w:val="24"/>
        </w:rPr>
        <w:t xml:space="preserve">- аттракционы механизированные сложного движения;</w:t>
      </w:r>
    </w:p>
    <w:p>
      <w:pPr>
        <w:spacing w:after="60"/>
        <w:ind w:firstLine="567"/>
        <w:jc w:val="both"/>
      </w:pPr>
      <w:r>
        <w:rPr>
          <w:rFonts w:ascii="Arial" w:cs="Arial" w:eastAsia="Arial" w:hAnsi="Arial"/>
          <w:sz w:val="24"/>
          <w:szCs w:val="24"/>
        </w:rPr>
        <w:t xml:space="preserve">- автодромы и картинги;</w:t>
      </w:r>
    </w:p>
    <w:p>
      <w:pPr>
        <w:spacing w:after="60"/>
        <w:ind w:firstLine="567"/>
        <w:jc w:val="both"/>
      </w:pPr>
      <w:r>
        <w:rPr>
          <w:rFonts w:ascii="Arial" w:cs="Arial" w:eastAsia="Arial" w:hAnsi="Arial"/>
          <w:sz w:val="24"/>
          <w:szCs w:val="24"/>
        </w:rPr>
        <w:t xml:space="preserve">- аттракционы водные механизированные и немеханизированные;</w:t>
      </w:r>
    </w:p>
    <w:p>
      <w:pPr>
        <w:spacing w:after="60"/>
        <w:ind w:firstLine="567"/>
        <w:jc w:val="both"/>
      </w:pPr>
      <w:r>
        <w:rPr>
          <w:rFonts w:ascii="Arial" w:cs="Arial" w:eastAsia="Arial" w:hAnsi="Arial"/>
          <w:sz w:val="24"/>
          <w:szCs w:val="24"/>
        </w:rPr>
        <w:t xml:space="preserve">- аттракционы немеханизированные;</w:t>
      </w:r>
    </w:p>
    <w:p>
      <w:pPr>
        <w:spacing w:after="60"/>
        <w:ind w:firstLine="567"/>
        <w:jc w:val="both"/>
      </w:pPr>
      <w:r>
        <w:rPr>
          <w:rFonts w:ascii="Arial" w:cs="Arial" w:eastAsia="Arial" w:hAnsi="Arial"/>
          <w:sz w:val="24"/>
          <w:szCs w:val="24"/>
        </w:rPr>
        <w:t xml:space="preserve">- аттракционы надувные;</w:t>
      </w:r>
    </w:p>
    <w:p>
      <w:pPr>
        <w:spacing w:after="60"/>
        <w:ind w:firstLine="567"/>
        <w:jc w:val="both"/>
      </w:pPr>
      <w:r>
        <w:rPr>
          <w:rFonts w:ascii="Arial" w:cs="Arial" w:eastAsia="Arial" w:hAnsi="Arial"/>
          <w:sz w:val="24"/>
          <w:szCs w:val="24"/>
        </w:rPr>
        <w:t xml:space="preserve">- аттракционы для детей.</w:t>
      </w:r>
    </w:p>
    <w:p>
      <w:pPr>
        <w:spacing w:after="60"/>
        <w:ind w:firstLine="567"/>
        <w:jc w:val="both"/>
      </w:pPr>
      <w:r>
        <w:rPr>
          <w:rFonts w:ascii="Arial" w:cs="Arial" w:eastAsia="Arial" w:hAnsi="Arial"/>
          <w:sz w:val="24"/>
          <w:szCs w:val="24"/>
        </w:rPr>
        <w:t xml:space="preserve">Виды и типы аттракционов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Виды биомеханических воздействий на пассажиров аттракционов со степенями потенциального биомеханического риска RB-1, RB-2 и RB-3 и виды наклона пассажирских кресел приведены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Степени биомеханических рисков RB обоснованы статистическими данными о последствиях травм при падении людей с высоты.";</w:t>
      </w:r>
    </w:p>
    <w:p>
      <w:pPr>
        <w:spacing w:after="60"/>
        <w:ind w:firstLine="567"/>
        <w:jc w:val="both"/>
      </w:pPr>
      <w:r>
        <w:rPr>
          <w:rFonts w:ascii="Arial" w:cs="Arial" w:eastAsia="Arial" w:hAnsi="Arial"/>
          <w:sz w:val="24"/>
          <w:szCs w:val="24"/>
        </w:rPr>
        <w:t xml:space="preserve">- в пункте 4 слова "(горки, качели, батуты), на надувные аттракционы" заменить словами "(горки, качели)";</w:t>
      </w:r>
    </w:p>
    <w:p>
      <w:pPr>
        <w:spacing w:after="60"/>
        <w:ind w:firstLine="567"/>
        <w:jc w:val="both"/>
      </w:pPr>
      <w:r>
        <w:rPr>
          <w:rFonts w:ascii="Arial" w:cs="Arial" w:eastAsia="Arial" w:hAnsi="Arial"/>
          <w:sz w:val="24"/>
          <w:szCs w:val="24"/>
        </w:rPr>
        <w:t xml:space="preserve">- пункт 5 дополнить абзацами следующего содержания:</w:t>
      </w:r>
    </w:p>
    <w:p>
      <w:pPr>
        <w:spacing w:after="60"/>
        <w:ind w:firstLine="567"/>
        <w:jc w:val="both"/>
      </w:pPr>
      <w:r>
        <w:rPr>
          <w:rFonts w:ascii="Arial" w:cs="Arial" w:eastAsia="Arial" w:hAnsi="Arial"/>
          <w:sz w:val="24"/>
          <w:szCs w:val="24"/>
        </w:rPr>
        <w:t xml:space="preserve">"вред - причинение вреда жизни или здоровью человека, имуществу или окружающей среде;</w:t>
      </w:r>
    </w:p>
    <w:p>
      <w:pPr>
        <w:spacing w:after="60"/>
        <w:ind w:firstLine="567"/>
        <w:jc w:val="both"/>
      </w:pPr>
      <w:r>
        <w:rPr>
          <w:rFonts w:ascii="Arial" w:cs="Arial" w:eastAsia="Arial" w:hAnsi="Arial"/>
          <w:sz w:val="24"/>
          <w:szCs w:val="24"/>
        </w:rPr>
        <w:t xml:space="preserve">зона приземления - место приземления пассажира при использовании парашютного изделия, механизированных, немеханизированных и надувных аттракционов;</w:t>
      </w:r>
    </w:p>
    <w:p>
      <w:pPr>
        <w:spacing w:after="60"/>
        <w:ind w:firstLine="567"/>
        <w:jc w:val="both"/>
      </w:pPr>
      <w:r>
        <w:rPr>
          <w:rFonts w:ascii="Arial" w:cs="Arial" w:eastAsia="Arial" w:hAnsi="Arial"/>
          <w:sz w:val="24"/>
          <w:szCs w:val="24"/>
        </w:rPr>
        <w:t xml:space="preserve">инцидент - отказ или повреждение технических устройств, применяемых на парашютных изделиях, механизированных, немеханизированных и надувных аттракционах, отклонение от режима их эксплуатации, нарушение нормативных правовых актов, устанавливающих режимы эксплуатации источников повышенной опасности;</w:t>
      </w:r>
    </w:p>
    <w:p>
      <w:pPr>
        <w:spacing w:after="60"/>
        <w:ind w:firstLine="567"/>
        <w:jc w:val="both"/>
      </w:pPr>
      <w:r>
        <w:rPr>
          <w:rFonts w:ascii="Arial" w:cs="Arial" w:eastAsia="Arial" w:hAnsi="Arial"/>
          <w:sz w:val="24"/>
          <w:szCs w:val="24"/>
        </w:rPr>
        <w:t xml:space="preserve">источники повышенной опасности - это деятельность, которая связана с использованием определенных предметов, объектов или технических устройств механизированных, немеханизированных и надувных аттракционов, обладающих количественными, качественными и техническими характеристиками, которые в процессе пользования ими обладают повышенной способностью причинения вреда;</w:t>
      </w:r>
    </w:p>
    <w:p>
      <w:pPr>
        <w:spacing w:after="60"/>
        <w:ind w:firstLine="567"/>
        <w:jc w:val="both"/>
      </w:pPr>
      <w:r>
        <w:rPr>
          <w:rFonts w:ascii="Arial" w:cs="Arial" w:eastAsia="Arial" w:hAnsi="Arial"/>
          <w:sz w:val="24"/>
          <w:szCs w:val="24"/>
        </w:rPr>
        <w:t xml:space="preserve">надувной аттракцион - это вид развлекательных изделий ("банан", "диван", "таблетка"), оборудований и конструкций (горки, батуты, лабиринты, зоны для прыжков), изготовленных из одной или нескольких оболочек, соединенных между собой, которые надуваются или обдуваются (парашюты) воздухом для создания временного или постоянного развлекательного объекта, обеспечивающего безопасность пользователей во время активного отдыха на суше и воде;</w:t>
      </w:r>
    </w:p>
    <w:p>
      <w:pPr>
        <w:spacing w:after="60"/>
        <w:ind w:firstLine="567"/>
        <w:jc w:val="both"/>
      </w:pPr>
      <w:r>
        <w:rPr>
          <w:rFonts w:ascii="Arial" w:cs="Arial" w:eastAsia="Arial" w:hAnsi="Arial"/>
          <w:sz w:val="24"/>
          <w:szCs w:val="24"/>
        </w:rPr>
        <w:t xml:space="preserve">парашют - это устройство в форме зонта из ткани или другого мягкого материала, предназначенное для создания временного полета или замедления падения в воздухе предмета или человека.";</w:t>
      </w:r>
    </w:p>
    <w:p>
      <w:pPr>
        <w:spacing w:after="60"/>
        <w:ind w:firstLine="567"/>
        <w:jc w:val="both"/>
      </w:pPr>
      <w:r>
        <w:rPr>
          <w:rFonts w:ascii="Arial" w:cs="Arial" w:eastAsia="Arial" w:hAnsi="Arial"/>
          <w:sz w:val="24"/>
          <w:szCs w:val="24"/>
        </w:rPr>
        <w:t xml:space="preserve">- пункт 34 дополнить абзацем следующего содержания:</w:t>
      </w:r>
    </w:p>
    <w:p>
      <w:pPr>
        <w:spacing w:after="60"/>
        <w:ind w:firstLine="567"/>
        <w:jc w:val="both"/>
      </w:pPr>
      <w:r>
        <w:rPr>
          <w:rFonts w:ascii="Arial" w:cs="Arial" w:eastAsia="Arial" w:hAnsi="Arial"/>
          <w:sz w:val="24"/>
          <w:szCs w:val="24"/>
        </w:rPr>
        <w:t xml:space="preserve">"травмы, связанные с резким подбрасыванием над водой на большой скорости.";</w:t>
      </w:r>
    </w:p>
    <w:p>
      <w:pPr>
        <w:spacing w:after="60"/>
        <w:ind w:firstLine="567"/>
        <w:jc w:val="both"/>
      </w:pPr>
      <w:r>
        <w:rPr>
          <w:rFonts w:ascii="Arial" w:cs="Arial" w:eastAsia="Arial" w:hAnsi="Arial"/>
          <w:sz w:val="24"/>
          <w:szCs w:val="24"/>
        </w:rPr>
        <w:t xml:space="preserve">- дополнить пунктом 42-1 следующего содержания:</w:t>
      </w:r>
    </w:p>
    <w:p>
      <w:pPr>
        <w:spacing w:after="60"/>
        <w:ind w:firstLine="567"/>
        <w:jc w:val="both"/>
      </w:pPr>
      <w:r>
        <w:rPr>
          <w:rFonts w:ascii="Arial" w:cs="Arial" w:eastAsia="Arial" w:hAnsi="Arial"/>
          <w:sz w:val="24"/>
          <w:szCs w:val="24"/>
        </w:rPr>
        <w:t xml:space="preserve">"42-1. Проектно-конструкторская документация на аттракцион, за исключением проектно-конструкторской документации к надувному аттракциону, подлежит экспертизе уполномоченным органом, определяющим государственную политику в области промышленной безопасности.";</w:t>
      </w:r>
    </w:p>
    <w:p>
      <w:pPr>
        <w:spacing w:after="60"/>
        <w:ind w:firstLine="567"/>
        <w:jc w:val="both"/>
      </w:pPr>
      <w:r>
        <w:rPr>
          <w:rFonts w:ascii="Arial" w:cs="Arial" w:eastAsia="Arial" w:hAnsi="Arial"/>
          <w:sz w:val="24"/>
          <w:szCs w:val="24"/>
        </w:rPr>
        <w:t xml:space="preserve">- пункт 81 дополнить подпунктом "и" следующего содержания:</w:t>
      </w:r>
    </w:p>
    <w:p>
      <w:pPr>
        <w:spacing w:after="60"/>
        <w:ind w:firstLine="567"/>
        <w:jc w:val="both"/>
      </w:pPr>
      <w:r>
        <w:rPr>
          <w:rFonts w:ascii="Arial" w:cs="Arial" w:eastAsia="Arial" w:hAnsi="Arial"/>
          <w:sz w:val="24"/>
          <w:szCs w:val="24"/>
        </w:rPr>
        <w:t xml:space="preserve">"и) положительное заключение экспертизы промышленной безопасности на проектно-конструкторскую документацию.";</w:t>
      </w:r>
    </w:p>
    <w:p>
      <w:pPr>
        <w:spacing w:after="60"/>
        <w:ind w:firstLine="567"/>
        <w:jc w:val="both"/>
      </w:pPr>
      <w:r>
        <w:rPr>
          <w:rFonts w:ascii="Arial" w:cs="Arial" w:eastAsia="Arial" w:hAnsi="Arial"/>
          <w:sz w:val="24"/>
          <w:szCs w:val="24"/>
        </w:rPr>
        <w:t xml:space="preserve">- пункт 98 дополнить абзацем следующего содержания:</w:t>
      </w:r>
    </w:p>
    <w:p>
      <w:pPr>
        <w:spacing w:after="60"/>
        <w:ind w:firstLine="567"/>
        <w:jc w:val="both"/>
      </w:pPr>
      <w:r>
        <w:rPr>
          <w:rFonts w:ascii="Arial" w:cs="Arial" w:eastAsia="Arial" w:hAnsi="Arial"/>
          <w:sz w:val="24"/>
          <w:szCs w:val="24"/>
        </w:rPr>
        <w:t xml:space="preserve">"Дежурный надувного аттракциона должен иметь легко распознаваемую экипировку (сигнальный жилет) и соблюдать требования инструкции по эксплуатации надувного аттракциона и инструкции по охране труда, уметь действовать при возникновении инцидента, чрезвычайной (аварийной) ситуации, несчастного случая, обеспечивая как безопасность пассажиров, посетителей, так и свою личную безопасность.";</w:t>
      </w:r>
    </w:p>
    <w:p>
      <w:pPr>
        <w:spacing w:after="60"/>
        <w:ind w:firstLine="567"/>
        <w:jc w:val="both"/>
      </w:pPr>
      <w:r>
        <w:rPr>
          <w:rFonts w:ascii="Arial" w:cs="Arial" w:eastAsia="Arial" w:hAnsi="Arial"/>
          <w:sz w:val="24"/>
          <w:szCs w:val="24"/>
        </w:rPr>
        <w:t xml:space="preserve">- </w:t>
      </w:r>
      <w:hyperlink w:history="1" r:id="rIdvc25wtubpskd7jx6w_km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вышеуказанным Правилам изложить в редакции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вышеуказанные Правила дополнить </w:t>
      </w:r>
      <w:hyperlink w:history="1" r:id="rIdaobqzm-mdtscsjtiyktak">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30 июля 2024 года № 57 (3611)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x7l2nynle1aq14fpl2qkx">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Правилам безопасной эксплуатации аттракционов</w:t>
      </w:r>
    </w:p>
    <w:p>
      <w:pPr>
        <w:spacing w:after="400" w:before="400"/>
        <w:jc w:val="center"/>
      </w:pPr>
      <w:r>
        <w:rPr>
          <w:rFonts w:ascii="Arial" w:cs="Arial" w:eastAsia="Arial" w:hAnsi="Arial"/>
          <w:b/>
          <w:bCs/>
          <w:sz w:val="32"/>
          <w:szCs w:val="32"/>
        </w:rPr>
        <w:t xml:space="preserve">Виды и типы аттракционов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5"/>
        <w:gridCol w:w="6143"/>
      </w:tblGrid>
      <w:tr>
        <w:tc>
          <w:tcPr>
            <w:tcW w:type="dxa" w:w="40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аттракционов</w:t>
            </w:r>
          </w:p>
        </w:tc>
        <w:tc>
          <w:tcPr>
            <w:tcW w:type="dxa" w:w="61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аттракционов</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поступательного движения (в том числе с использованием воды)</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Катальные горы, башни свободного падения, катальные горы водные на лодках или плотах, катапульты, поезда парковые на рельсах, монорельсовые и канатные парковые дороги</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вращательного движения</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Колеса обозрения, качели, карусели</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Механизированные сложного движения</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Аттракционы на основе промышленных роботов</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Автодромы и картинги</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Сталкивающиеся автомобили, парковые автомобили или автопоезда, прогулочные картинги (в том числе на эстакадах), скоростные дороги с мини-автомобилями</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Надувные</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Батуты надувные, горки, лабиринты</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Водные немеханизированные</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спуски прямые и с виражами, горки, трамплины, плавающие платформы, частично погруженные в воду, с выливанием воды на посетителей, "бананы", "диваны", "таблетки"</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Немеханизированные</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Горки, качели, карусели, тарзанки, банджи-, роуп-джампинг, парасейлинг (полет на специальном парашюте за катером)</w:t>
            </w:r>
          </w:p>
        </w:tc>
      </w:tr>
      <w:tr>
        <w:tc>
          <w:tcPr>
            <w:tcW w:type="dxa" w:w="4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детей</w:t>
            </w:r>
          </w:p>
        </w:tc>
        <w:tc>
          <w:tcPr>
            <w:tcW w:type="dxa" w:w="6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Горки, спуски, качели, карусели</w:t>
            </w:r>
          </w:p>
        </w:tc>
      </w:tr>
    </w:tbl>
    <w:p>
      <w:pPr>
        <w:spacing w:after="60" w:before="120"/>
        <w:ind w:firstLine="567"/>
        <w:jc w:val="right"/>
      </w:pPr>
      <w:r>
        <w:rPr>
          <w:rFonts w:ascii="Arial" w:cs="Arial" w:eastAsia="Arial" w:hAnsi="Arial"/>
          <w:sz w:val="24"/>
          <w:szCs w:val="24"/>
        </w:rPr>
        <w:t xml:space="preserve">".</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x1xpw1rdfmak1ylvqtjg7">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Правилам безопасной эксплуатации аттракционов</w:t>
      </w:r>
    </w:p>
    <w:p>
      <w:pPr>
        <w:spacing w:after="400" w:before="400"/>
        <w:jc w:val="center"/>
      </w:pPr>
      <w:r>
        <w:rPr>
          <w:rFonts w:ascii="Arial" w:cs="Arial" w:eastAsia="Arial" w:hAnsi="Arial"/>
          <w:b/>
          <w:bCs/>
          <w:sz w:val="24"/>
          <w:szCs w:val="24"/>
        </w:rPr>
        <w:t xml:space="preserve">ТРЕБОВАНИЯ</w:t>
      </w:r>
      <w:r>
        <w:rPr>
          <w:rFonts w:ascii="Arial" w:cs="Arial" w:eastAsia="Arial" w:hAnsi="Arial"/>
          <w:b/>
          <w:bCs/>
          <w:sz w:val="24"/>
          <w:szCs w:val="24"/>
        </w:rPr>
        <w:t xml:space="preserve">
 безопасности к надувным аттракционам</w:t>
      </w:r>
    </w:p>
    <w:p>
      <w:pPr>
        <w:spacing w:after="60"/>
        <w:ind w:firstLine="567"/>
        <w:jc w:val="both"/>
      </w:pPr>
      <w:r>
        <w:rPr>
          <w:rFonts w:ascii="Arial" w:cs="Arial" w:eastAsia="Arial" w:hAnsi="Arial"/>
          <w:sz w:val="24"/>
          <w:szCs w:val="24"/>
        </w:rPr>
        <w:t xml:space="preserve">1. Владельцы аттракционов, относящихся к надувным, обязаны:</w:t>
      </w:r>
    </w:p>
    <w:p>
      <w:pPr>
        <w:spacing w:after="60"/>
        <w:ind w:firstLine="567"/>
        <w:jc w:val="both"/>
      </w:pPr>
      <w:r>
        <w:rPr>
          <w:rFonts w:ascii="Arial" w:cs="Arial" w:eastAsia="Arial" w:hAnsi="Arial"/>
          <w:sz w:val="24"/>
          <w:szCs w:val="24"/>
        </w:rPr>
        <w:t xml:space="preserve">1) выполнять требования инструкции завода-изготовителя по безопасной эксплуатации надувных аттракционов. Эксплуатант надувного аттракциона должен обеспечить наличие и ведение журнала учета эксплуатации, технического обслуживания, ремонта и модификации надувного аттракциона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необходимого для подтверждения выполнения процедур установки, эксплуатации, технического освидетельствования, технического обслуживания, модификации и ремонта надувного аттракциона.</w:t>
      </w:r>
    </w:p>
    <w:p>
      <w:pPr>
        <w:spacing w:after="60"/>
        <w:ind w:firstLine="567"/>
        <w:jc w:val="both"/>
      </w:pPr>
      <w:r>
        <w:rPr>
          <w:rFonts w:ascii="Arial" w:cs="Arial" w:eastAsia="Arial" w:hAnsi="Arial"/>
          <w:sz w:val="24"/>
          <w:szCs w:val="24"/>
        </w:rPr>
        <w:t xml:space="preserve">При обнаружении недостатков в конструкции или изготовлении надувного аттракциона, а также несоответствий требованиям эксплуатационных документов эксплуатант надувного аттракциона, организация, осуществляющая его установку, обязаны прекратить установку, эксплуатацию надувного аттракциона и направить его изготовителю и поставщику рекламацию (претензию);</w:t>
      </w:r>
    </w:p>
    <w:p>
      <w:pPr>
        <w:spacing w:after="60"/>
        <w:ind w:firstLine="567"/>
        <w:jc w:val="both"/>
      </w:pPr>
      <w:r>
        <w:rPr>
          <w:rFonts w:ascii="Arial" w:cs="Arial" w:eastAsia="Arial" w:hAnsi="Arial"/>
          <w:sz w:val="24"/>
          <w:szCs w:val="24"/>
        </w:rPr>
        <w:t xml:space="preserve">2) представить акт готовности аттракциона к эксплуатации, который составляется в составе комиссии: представителя монтажной организации, представителя эксплуатирующей организации, специалиста за безопасную эксплуатацию и исправное состояние аттракциона;</w:t>
      </w:r>
    </w:p>
    <w:p>
      <w:pPr>
        <w:spacing w:after="60"/>
        <w:ind w:firstLine="567"/>
        <w:jc w:val="both"/>
      </w:pPr>
      <w:r>
        <w:rPr>
          <w:rFonts w:ascii="Arial" w:cs="Arial" w:eastAsia="Arial" w:hAnsi="Arial"/>
          <w:sz w:val="24"/>
          <w:szCs w:val="24"/>
        </w:rPr>
        <w:t xml:space="preserve">3) допускать к работе лиц, прошедших обучение и аттестацию по оказанию экстренной медицинской помощи, при этом не имеющих медицинских противопоказаний к указанной работе, подготовленных и аттестованных в части обеспечения безопасной эксплуатации аттракционов;</w:t>
      </w:r>
    </w:p>
    <w:p>
      <w:pPr>
        <w:spacing w:after="60"/>
        <w:ind w:firstLine="567"/>
        <w:jc w:val="both"/>
      </w:pPr>
      <w:r>
        <w:rPr>
          <w:rFonts w:ascii="Arial" w:cs="Arial" w:eastAsia="Arial" w:hAnsi="Arial"/>
          <w:sz w:val="24"/>
          <w:szCs w:val="24"/>
        </w:rPr>
        <w:t xml:space="preserve">4) выполнять уведомления уполномоченного государственного органа, осуществляющий государственный надзор и контроль по вопросам экологической и технической безопасности, и его должностных лиц, отдаваемые ими в соответствии с полномочиями;</w:t>
      </w:r>
    </w:p>
    <w:p>
      <w:pPr>
        <w:spacing w:after="60"/>
        <w:ind w:firstLine="567"/>
        <w:jc w:val="both"/>
      </w:pPr>
      <w:r>
        <w:rPr>
          <w:rFonts w:ascii="Arial" w:cs="Arial" w:eastAsia="Arial" w:hAnsi="Arial"/>
          <w:sz w:val="24"/>
          <w:szCs w:val="24"/>
        </w:rPr>
        <w:t xml:space="preserve">5) предоставлять в уполномоченный государственный орган, осуществляющий государственный надзор и контроль по вопросам экологической и технической безопасности, сведения, необходимые для регистрации в государственном реестре технических устройств;</w:t>
      </w:r>
    </w:p>
    <w:p>
      <w:pPr>
        <w:spacing w:after="60"/>
        <w:ind w:firstLine="567"/>
        <w:jc w:val="both"/>
      </w:pPr>
      <w:r>
        <w:rPr>
          <w:rFonts w:ascii="Arial" w:cs="Arial" w:eastAsia="Arial" w:hAnsi="Arial"/>
          <w:sz w:val="24"/>
          <w:szCs w:val="24"/>
        </w:rPr>
        <w:t xml:space="preserve">6) проводить диагностику, испытания, освидетельствование, техническое обслуживание надувных устройств в установленные сроки, в том числе отслуживших технический ресурс, для определения возможного срока их дальнейшей безопасной эксплуатации в соответствии с главой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7) обеспечивать контроль за наличием, состоянием и функционированием приборов и устройств безопасности;</w:t>
      </w:r>
    </w:p>
    <w:p>
      <w:pPr>
        <w:spacing w:after="60"/>
        <w:ind w:firstLine="567"/>
        <w:jc w:val="both"/>
      </w:pPr>
      <w:r>
        <w:rPr>
          <w:rFonts w:ascii="Arial" w:cs="Arial" w:eastAsia="Arial" w:hAnsi="Arial"/>
          <w:sz w:val="24"/>
          <w:szCs w:val="24"/>
        </w:rPr>
        <w:t xml:space="preserve">8) заключать договор страхования риска ответственности за причинение вреда при эксплуатации;</w:t>
      </w:r>
    </w:p>
    <w:p>
      <w:pPr>
        <w:spacing w:after="60"/>
        <w:ind w:firstLine="567"/>
        <w:jc w:val="both"/>
      </w:pPr>
      <w:r>
        <w:rPr>
          <w:rFonts w:ascii="Arial" w:cs="Arial" w:eastAsia="Arial" w:hAnsi="Arial"/>
          <w:sz w:val="24"/>
          <w:szCs w:val="24"/>
        </w:rPr>
        <w:t xml:space="preserve">9) не допускать посторонних лиц для обслуживания объекта;</w:t>
      </w:r>
    </w:p>
    <w:p>
      <w:pPr>
        <w:spacing w:after="60"/>
        <w:ind w:firstLine="567"/>
        <w:jc w:val="both"/>
      </w:pPr>
      <w:r>
        <w:rPr>
          <w:rFonts w:ascii="Arial" w:cs="Arial" w:eastAsia="Arial" w:hAnsi="Arial"/>
          <w:sz w:val="24"/>
          <w:szCs w:val="24"/>
        </w:rPr>
        <w:t xml:space="preserve">10) организовывать и осуществлять надзор за объектом с ведением журналов учета;</w:t>
      </w:r>
    </w:p>
    <w:p>
      <w:pPr>
        <w:spacing w:after="60"/>
        <w:ind w:firstLine="567"/>
        <w:jc w:val="both"/>
      </w:pPr>
      <w:r>
        <w:rPr>
          <w:rFonts w:ascii="Arial" w:cs="Arial" w:eastAsia="Arial" w:hAnsi="Arial"/>
          <w:sz w:val="24"/>
          <w:szCs w:val="24"/>
        </w:rPr>
        <w:t xml:space="preserve">11)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60"/>
        <w:ind w:firstLine="567"/>
        <w:jc w:val="both"/>
      </w:pPr>
      <w:r>
        <w:rPr>
          <w:rFonts w:ascii="Arial" w:cs="Arial" w:eastAsia="Arial" w:hAnsi="Arial"/>
          <w:sz w:val="24"/>
          <w:szCs w:val="24"/>
        </w:rPr>
        <w:t xml:space="preserve">12) заключать с профессиональными аварийно-спасательными службами (формированиями) договоры на обслуживание, а в случаях, предусмотренных законодательством в сфере гражданской защиты, создавать из числа работников аварийно-спасательных формирований;</w:t>
      </w:r>
    </w:p>
    <w:p>
      <w:pPr>
        <w:spacing w:after="60"/>
        <w:ind w:firstLine="567"/>
        <w:jc w:val="both"/>
      </w:pPr>
      <w:r>
        <w:rPr>
          <w:rFonts w:ascii="Arial" w:cs="Arial" w:eastAsia="Arial" w:hAnsi="Arial"/>
          <w:sz w:val="24"/>
          <w:szCs w:val="24"/>
        </w:rPr>
        <w:t xml:space="preserve">13) обеспечивать выполнение требований к хранению надувных оборудований.</w:t>
      </w:r>
    </w:p>
    <w:p>
      <w:pPr>
        <w:spacing w:after="60"/>
        <w:ind w:firstLine="567"/>
        <w:jc w:val="both"/>
      </w:pPr>
      <w:r>
        <w:rPr>
          <w:rFonts w:ascii="Arial" w:cs="Arial" w:eastAsia="Arial" w:hAnsi="Arial"/>
          <w:sz w:val="24"/>
          <w:szCs w:val="24"/>
        </w:rPr>
        <w:t xml:space="preserve">Хранение надувных и парашютных изделий осуществляется в соответствии с техническим описанием и инструкцией по эксплуатации.</w:t>
      </w:r>
    </w:p>
    <w:p>
      <w:pPr>
        <w:spacing w:after="60"/>
        <w:ind w:firstLine="567"/>
        <w:jc w:val="both"/>
      </w:pPr>
      <w:r>
        <w:rPr>
          <w:rFonts w:ascii="Arial" w:cs="Arial" w:eastAsia="Arial" w:hAnsi="Arial"/>
          <w:sz w:val="24"/>
          <w:szCs w:val="24"/>
        </w:rPr>
        <w:t xml:space="preserve">Надувные и парашютные изделия хранятся в оборудованном помещении при температуре 15-30 ºС и влажностью 40-80%.</w:t>
      </w:r>
    </w:p>
    <w:p>
      <w:pPr>
        <w:spacing w:after="60"/>
        <w:ind w:firstLine="567"/>
        <w:jc w:val="both"/>
      </w:pPr>
      <w:r>
        <w:rPr>
          <w:rFonts w:ascii="Arial" w:cs="Arial" w:eastAsia="Arial" w:hAnsi="Arial"/>
          <w:sz w:val="24"/>
          <w:szCs w:val="24"/>
        </w:rPr>
        <w:t xml:space="preserve">В случае хранения надувных и парашютных изделий при относительной влажности воздуха более 80% их следует просушивать и перекладывать чаще;</w:t>
      </w:r>
    </w:p>
    <w:p>
      <w:pPr>
        <w:spacing w:after="60"/>
        <w:ind w:firstLine="567"/>
        <w:jc w:val="both"/>
      </w:pPr>
      <w:r>
        <w:rPr>
          <w:rFonts w:ascii="Arial" w:cs="Arial" w:eastAsia="Arial" w:hAnsi="Arial"/>
          <w:sz w:val="24"/>
          <w:szCs w:val="24"/>
        </w:rPr>
        <w:t xml:space="preserve">14) иметь резервы финансовых средств для предотвращения и ликвидации последствий несчастных случаев;</w:t>
      </w:r>
    </w:p>
    <w:p>
      <w:pPr>
        <w:spacing w:after="60"/>
        <w:ind w:firstLine="567"/>
        <w:jc w:val="both"/>
      </w:pPr>
      <w:r>
        <w:rPr>
          <w:rFonts w:ascii="Arial" w:cs="Arial" w:eastAsia="Arial" w:hAnsi="Arial"/>
          <w:sz w:val="24"/>
          <w:szCs w:val="24"/>
        </w:rPr>
        <w:t xml:space="preserve">15) создавать и поддерживать в надлежащем состоянии системы наблюдения, оповещения, связи и спасательные жилеты (для водных аттракционов) и страхующие приборы и устройства;</w:t>
      </w:r>
    </w:p>
    <w:p>
      <w:pPr>
        <w:spacing w:after="60"/>
        <w:ind w:firstLine="567"/>
        <w:jc w:val="both"/>
      </w:pPr>
      <w:r>
        <w:rPr>
          <w:rFonts w:ascii="Arial" w:cs="Arial" w:eastAsia="Arial" w:hAnsi="Arial"/>
          <w:sz w:val="24"/>
          <w:szCs w:val="24"/>
        </w:rPr>
        <w:t xml:space="preserve">16) принимать участие в расследовании причин аварий и несчастных случаев;</w:t>
      </w:r>
    </w:p>
    <w:p>
      <w:pPr>
        <w:spacing w:after="60"/>
        <w:ind w:firstLine="567"/>
        <w:jc w:val="both"/>
      </w:pPr>
      <w:r>
        <w:rPr>
          <w:rFonts w:ascii="Arial" w:cs="Arial" w:eastAsia="Arial" w:hAnsi="Arial"/>
          <w:sz w:val="24"/>
          <w:szCs w:val="24"/>
        </w:rPr>
        <w:t xml:space="preserve">17) предоставлять в уполномоченный государственный орган, осуществляющий государственный надзор и контроль по вопросам экологической и технической безопасности, информацию об авариях, инцидентах и о несчастных случаях, причинах их возникновения и принятых мерах.</w:t>
      </w:r>
    </w:p>
    <w:p>
      <w:pPr>
        <w:spacing w:after="60"/>
        <w:ind w:firstLine="567"/>
        <w:jc w:val="both"/>
      </w:pPr>
      <w:r>
        <w:rPr>
          <w:rFonts w:ascii="Arial" w:cs="Arial" w:eastAsia="Arial" w:hAnsi="Arial"/>
          <w:sz w:val="24"/>
          <w:szCs w:val="24"/>
        </w:rPr>
        <w:t xml:space="preserve">2. Установка надувного аттракциона осуществляется его эксплуатантом или организацией, которую определяет эксплуатант надувного аттракциона, если иное не предусмотрено эксплуатационными документами.</w:t>
      </w:r>
    </w:p>
    <w:p>
      <w:pPr>
        <w:spacing w:after="60"/>
        <w:ind w:firstLine="567"/>
        <w:jc w:val="both"/>
      </w:pPr>
      <w:r>
        <w:rPr>
          <w:rFonts w:ascii="Arial" w:cs="Arial" w:eastAsia="Arial" w:hAnsi="Arial"/>
          <w:sz w:val="24"/>
          <w:szCs w:val="24"/>
        </w:rPr>
        <w:t xml:space="preserve">3. Эксплуатант надувного аттракциона или организация, осуществляющие установку надувного аттракциона, перед началом его установки должны провести осмотр надувного аттракциона с целью оценки его состояния и комплектности. Обнаруженные дефекты или повреждения частей надувного аттракциона подлежат сопоставлению с описанием допустимых дефектов и повреждений, указанных в эксплуатационных документах.</w:t>
      </w:r>
    </w:p>
    <w:p>
      <w:pPr>
        <w:spacing w:after="60"/>
        <w:ind w:firstLine="567"/>
        <w:jc w:val="both"/>
      </w:pPr>
      <w:r>
        <w:rPr>
          <w:rFonts w:ascii="Arial" w:cs="Arial" w:eastAsia="Arial" w:hAnsi="Arial"/>
          <w:sz w:val="24"/>
          <w:szCs w:val="24"/>
        </w:rPr>
        <w:t xml:space="preserve">4. При установке надувного аттракциона необходимо обеспечить соблюдение безопасных расстояний для пассажиров, посетителей и обслуживающего персонала в соответствии с требованиями эксплуатационных документов.</w:t>
      </w:r>
    </w:p>
    <w:p>
      <w:pPr>
        <w:spacing w:after="60"/>
        <w:ind w:firstLine="567"/>
        <w:jc w:val="both"/>
      </w:pPr>
      <w:r>
        <w:rPr>
          <w:rFonts w:ascii="Arial" w:cs="Arial" w:eastAsia="Arial" w:hAnsi="Arial"/>
          <w:sz w:val="24"/>
          <w:szCs w:val="24"/>
        </w:rPr>
        <w:t xml:space="preserve">5. Вход и выход на надувной аттракцион должен быть организован в соответствии с эксплуатационными документами на надувной аттракцион.</w:t>
      </w:r>
    </w:p>
    <w:p>
      <w:pPr>
        <w:spacing w:after="60"/>
        <w:ind w:firstLine="567"/>
        <w:jc w:val="both"/>
      </w:pPr>
      <w:r>
        <w:rPr>
          <w:rFonts w:ascii="Arial" w:cs="Arial" w:eastAsia="Arial" w:hAnsi="Arial"/>
          <w:sz w:val="24"/>
          <w:szCs w:val="24"/>
        </w:rPr>
        <w:t xml:space="preserve">6. При отсутствии требований к организации входа и выхода в эксплуатационных документах расположение надувного аттракциона должно обеспечивать безопасный вход и выход и нахождение на нем и (или) рядом с ним пассажиров и (или) посетителей, их безопасную эвакуацию, а также исключать давку и не создавать опасные заторы в чрезвычайных (аварийных) ситуациях.</w:t>
      </w:r>
    </w:p>
    <w:p>
      <w:pPr>
        <w:spacing w:after="60"/>
        <w:ind w:firstLine="567"/>
        <w:jc w:val="both"/>
      </w:pPr>
      <w:r>
        <w:rPr>
          <w:rFonts w:ascii="Arial" w:cs="Arial" w:eastAsia="Arial" w:hAnsi="Arial"/>
          <w:sz w:val="24"/>
          <w:szCs w:val="24"/>
        </w:rPr>
        <w:t xml:space="preserve">7. Надувные аттракционы следует размещать на расстоянии от соседних аттракционов, зданий (сооружений) для исключения распространения огня при пожаре.</w:t>
      </w:r>
    </w:p>
    <w:p>
      <w:pPr>
        <w:spacing w:after="60"/>
        <w:ind w:firstLine="567"/>
        <w:jc w:val="both"/>
      </w:pPr>
      <w:r>
        <w:rPr>
          <w:rFonts w:ascii="Arial" w:cs="Arial" w:eastAsia="Arial" w:hAnsi="Arial"/>
          <w:sz w:val="24"/>
          <w:szCs w:val="24"/>
        </w:rPr>
        <w:t xml:space="preserve">8. Размеры площадки под установку надувного аттракциона и допустимый уклон поверхности в любом направлении должны соответствовать значениям, указанным в эксплуатационных документах.</w:t>
      </w:r>
    </w:p>
    <w:p>
      <w:pPr>
        <w:spacing w:after="60"/>
        <w:ind w:firstLine="567"/>
        <w:jc w:val="both"/>
      </w:pPr>
      <w:r>
        <w:rPr>
          <w:rFonts w:ascii="Arial" w:cs="Arial" w:eastAsia="Arial" w:hAnsi="Arial"/>
          <w:sz w:val="24"/>
          <w:szCs w:val="24"/>
        </w:rPr>
        <w:t xml:space="preserve">9. Поверхность площадки под установку надувного аттракциона должна быть ровной. Допускается установка надувного аттракциона на площадке с уклоном, составляющим не более 5% в любом направлении,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10. Площадка для установки надувного аттракциона должна быть очищена от мусора, острых и иных предметов, расположенных на поверхности площадки или выступающих из нее. От возможных опасностей, таких как инженерные сети (коммуникации), здания, сооружения, деревья и иных предметов, представляющих опасность, надувной аттракцион должен быть расположен на расстоянии, указанном в эксплуатационных документах. В случае отсутствия указанных требований в эксплуатационных документах, надувной аттракцион должен быть расположен от возможных опасностей на расстоянии, обеспечивающем его безопасную эксплуатацию, но не менее 2 м.</w:t>
      </w:r>
    </w:p>
    <w:p>
      <w:pPr>
        <w:spacing w:after="60"/>
        <w:ind w:firstLine="567"/>
        <w:jc w:val="both"/>
      </w:pPr>
      <w:r>
        <w:rPr>
          <w:rFonts w:ascii="Arial" w:cs="Arial" w:eastAsia="Arial" w:hAnsi="Arial"/>
          <w:sz w:val="24"/>
          <w:szCs w:val="24"/>
        </w:rPr>
        <w:t xml:space="preserve">11. Не допускается повреждение наземных и подземных инженерных (сетей) коммуникаций при установке надувных аттракционов, столбов и кольев. Особенности установки надувного аттракциона в охранных зонах объектов инженерной инфраструктуры устанавливаются в соответствии с законодательством.</w:t>
      </w:r>
    </w:p>
    <w:p>
      <w:pPr>
        <w:spacing w:after="60"/>
        <w:ind w:firstLine="567"/>
        <w:jc w:val="both"/>
      </w:pPr>
      <w:r>
        <w:rPr>
          <w:rFonts w:ascii="Arial" w:cs="Arial" w:eastAsia="Arial" w:hAnsi="Arial"/>
          <w:sz w:val="24"/>
          <w:szCs w:val="24"/>
        </w:rPr>
        <w:t xml:space="preserve">12. Допускается располагать надувной аттракцион непосредственно напротив сплошной стены или стен здания. В таком случае высота сплошной стены (стен) должна быть на 2 м выше самой высокой точки верхней платформы надувного аттракциона. При этом не должно создаваться дополнительных опасностей для пассажиров и посетителей. В случае если надувные аттракционы расположены рядом друг с другом или взаимосвязаны между собой, должно быть обеспечено пространство для каждого надувного аттракциона, обеспечивающее его безопасную эксплуатацию для пассажиров, посетителей и обслуживающего персонала в соответствии с требованиями эксплуатационных документов и настоящих Правил.</w:t>
      </w:r>
    </w:p>
    <w:p>
      <w:pPr>
        <w:spacing w:after="60"/>
        <w:ind w:firstLine="567"/>
        <w:jc w:val="both"/>
      </w:pPr>
      <w:r>
        <w:rPr>
          <w:rFonts w:ascii="Arial" w:cs="Arial" w:eastAsia="Arial" w:hAnsi="Arial"/>
          <w:sz w:val="24"/>
          <w:szCs w:val="24"/>
        </w:rPr>
        <w:t xml:space="preserve">13. Вид, прочность и устойчивость ограждения или иных средств ограничения доступа надувного аттракциона должны соответствовать требованиям, указанным в эксплуатационных документах.</w:t>
      </w:r>
    </w:p>
    <w:p>
      <w:pPr>
        <w:spacing w:after="60"/>
        <w:ind w:firstLine="567"/>
        <w:jc w:val="both"/>
      </w:pPr>
      <w:r>
        <w:rPr>
          <w:rFonts w:ascii="Arial" w:cs="Arial" w:eastAsia="Arial" w:hAnsi="Arial"/>
          <w:sz w:val="24"/>
          <w:szCs w:val="24"/>
        </w:rPr>
        <w:t xml:space="preserve">14. Минимальное расстояние от ограждения до наружных стен надувного аттракциона должно быть не менее 1,8 м, а с открытой стороны - не менее 3,5 м. В ограждении должен быть предусмотрен проход для входа и выхода пассажиров, посетителей шириной не менее 1 м. Компрессор должен располагаться на расстоянии не менее 1,2 м от наружной стены надувного аттракциона или на расстоянии не менее 2,5 м от открытой стороны,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15. В случае расположения компрессора внутри элементов надувного аттракциона расстояние между ним и игровой зоной, зоной безопасности, рампой (входной ступенью, трапом) должно быть не менее 2,5 м,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16. Подвижные элементы надувного аттракциона, например, канаты, веревочные лестницы, сетки - не должны переплетаться и создавать опасность защемления для пассажиров.</w:t>
      </w:r>
    </w:p>
    <w:p>
      <w:pPr>
        <w:spacing w:after="60"/>
        <w:ind w:firstLine="567"/>
        <w:jc w:val="both"/>
      </w:pPr>
      <w:r>
        <w:rPr>
          <w:rFonts w:ascii="Arial" w:cs="Arial" w:eastAsia="Arial" w:hAnsi="Arial"/>
          <w:sz w:val="24"/>
          <w:szCs w:val="24"/>
        </w:rPr>
        <w:t xml:space="preserve">17. Электрические шкафы, источники питания, освещения и их токоведущие части, находящиеся под напряжением, должны быть защищены от возможного контакта с пассажиром и от несанкционированного доступа. Электрические кабели должны быть расположены на безопасном расстоянии от пассажиров и посетителей.</w:t>
      </w:r>
    </w:p>
    <w:p>
      <w:pPr>
        <w:spacing w:after="60"/>
        <w:ind w:firstLine="567"/>
        <w:jc w:val="both"/>
      </w:pPr>
      <w:r>
        <w:rPr>
          <w:rFonts w:ascii="Arial" w:cs="Arial" w:eastAsia="Arial" w:hAnsi="Arial"/>
          <w:sz w:val="24"/>
          <w:szCs w:val="24"/>
        </w:rPr>
        <w:t xml:space="preserve">18. В процессе установки надувного аттракциона необходимо исключить доступ посторонних лиц в зону работ с помощью ограждений, условных графических обозначений, устных предупреждений и иного.</w:t>
      </w:r>
    </w:p>
    <w:p>
      <w:pPr>
        <w:spacing w:after="60"/>
        <w:ind w:firstLine="567"/>
        <w:jc w:val="both"/>
      </w:pPr>
      <w:r>
        <w:rPr>
          <w:rFonts w:ascii="Arial" w:cs="Arial" w:eastAsia="Arial" w:hAnsi="Arial"/>
          <w:sz w:val="24"/>
          <w:szCs w:val="24"/>
        </w:rPr>
        <w:t xml:space="preserve">19. Каждый узел крепления надувного аттракциона должен быть закреплен в соответствии с эксплуатационными документами.</w:t>
      </w:r>
    </w:p>
    <w:p>
      <w:pPr>
        <w:spacing w:after="60"/>
        <w:ind w:firstLine="567"/>
        <w:jc w:val="both"/>
      </w:pPr>
      <w:r>
        <w:rPr>
          <w:rFonts w:ascii="Arial" w:cs="Arial" w:eastAsia="Arial" w:hAnsi="Arial"/>
          <w:sz w:val="24"/>
          <w:szCs w:val="24"/>
        </w:rPr>
        <w:t xml:space="preserve">20. Крепление надувного аттракциона должно осуществляться с применением анкерной системы с использованием элементов жесткого крепления (анкеры, стержни), или с применением элементов балластной системы (мешки с песком или иные грузы), или с применением приспособлений для крепления (фитинги) (далее, если не указано иное - элементы крепления), если иное не предусмотрено изготовителем оборудования и не указано в эксплуатационных документах.</w:t>
      </w:r>
    </w:p>
    <w:p>
      <w:pPr>
        <w:spacing w:after="60"/>
        <w:ind w:firstLine="567"/>
        <w:jc w:val="both"/>
      </w:pPr>
      <w:r>
        <w:rPr>
          <w:rFonts w:ascii="Arial" w:cs="Arial" w:eastAsia="Arial" w:hAnsi="Arial"/>
          <w:sz w:val="24"/>
          <w:szCs w:val="24"/>
        </w:rPr>
        <w:t xml:space="preserve">Каждый надувной аттракцион должен иметь не менее шести точек крепления,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Каждый элемент жесткого крепления должен быть длиной не менее 3,8 м, диаметром не менее 16 мм и выдерживать нагрузку не менее 1600 Н. Направление приложения нагрузки должно составлять угол от 30º до 45º по отношению к уровню грунта или поверхности площадки.</w:t>
      </w:r>
    </w:p>
    <w:p>
      <w:pPr>
        <w:spacing w:after="60"/>
        <w:ind w:firstLine="567"/>
        <w:jc w:val="both"/>
      </w:pPr>
      <w:r>
        <w:rPr>
          <w:rFonts w:ascii="Arial" w:cs="Arial" w:eastAsia="Arial" w:hAnsi="Arial"/>
          <w:sz w:val="24"/>
          <w:szCs w:val="24"/>
        </w:rPr>
        <w:t xml:space="preserve">Элементы жесткого крепления должны быть отклонены в направлении, противоположном направлению приложения нагрузки. Их верхние части должны быть скруглены и не должны выступать более чем на 25 мм над уровнем грунта или покрытия площадки.</w:t>
      </w:r>
    </w:p>
    <w:p>
      <w:pPr>
        <w:spacing w:after="60"/>
        <w:ind w:firstLine="567"/>
        <w:jc w:val="both"/>
      </w:pPr>
      <w:r>
        <w:rPr>
          <w:rFonts w:ascii="Arial" w:cs="Arial" w:eastAsia="Arial" w:hAnsi="Arial"/>
          <w:sz w:val="24"/>
          <w:szCs w:val="24"/>
        </w:rPr>
        <w:t xml:space="preserve">21. На площадках, где нельзя использовать жесткое крепление (стержни, анкеры), надувной аттракцион крепится за приспособления для крепления (фитинги), уже имеющиеся на площадке, или за элементы балластной системы (мешки с песком или иные грузы) при условии, что каждый из них выдерживает нагрузку не менее 1600 </w:t>
      </w:r>
      <w:r>
        <w:rPr>
          <w:rFonts w:ascii="Arial" w:cs="Arial" w:eastAsia="Arial" w:hAnsi="Arial"/>
          <w:sz w:val="24"/>
          <w:szCs w:val="24"/>
        </w:rPr>
        <w:t xml:space="preserve">H</w:t>
      </w:r>
      <w:r>
        <w:rPr>
          <w:rFonts w:ascii="Arial" w:cs="Arial" w:eastAsia="Arial" w:hAnsi="Arial"/>
          <w:sz w:val="24"/>
          <w:szCs w:val="24"/>
        </w:rPr>
        <w:t xml:space="preserve"> без смещения,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22. Каждый узел крепления, расположенный на надувном аттракционе соединяется с элементом крепления с помощью швартовочных элементов, которые должны быть натянуты, не иметь прогибов и слабины, если иное не предусмотрено изготовителем и не указано в эксплуатационных документах.</w:t>
      </w:r>
    </w:p>
    <w:p>
      <w:pPr>
        <w:spacing w:after="60"/>
        <w:ind w:firstLine="567"/>
        <w:jc w:val="both"/>
      </w:pPr>
      <w:r>
        <w:rPr>
          <w:rFonts w:ascii="Arial" w:cs="Arial" w:eastAsia="Arial" w:hAnsi="Arial"/>
          <w:sz w:val="24"/>
          <w:szCs w:val="24"/>
        </w:rPr>
        <w:t xml:space="preserve">Каждый швартовочный элемент одним концом фиксируется в узле крепления, расположенном на надувном аттракционе, а другим - к одному из элементов крепления.</w:t>
      </w:r>
    </w:p>
    <w:p>
      <w:pPr>
        <w:spacing w:after="60"/>
        <w:ind w:firstLine="567"/>
        <w:jc w:val="both"/>
      </w:pPr>
      <w:r>
        <w:rPr>
          <w:rFonts w:ascii="Arial" w:cs="Arial" w:eastAsia="Arial" w:hAnsi="Arial"/>
          <w:sz w:val="24"/>
          <w:szCs w:val="24"/>
        </w:rPr>
        <w:t xml:space="preserve">Для фиксации швартовочных элементов необходимо использовать узлы, исключающие их самопроизвольное развязывание.</w:t>
      </w:r>
    </w:p>
    <w:p>
      <w:pPr>
        <w:spacing w:after="60"/>
        <w:ind w:firstLine="567"/>
        <w:jc w:val="both"/>
      </w:pPr>
      <w:r>
        <w:rPr>
          <w:rFonts w:ascii="Arial" w:cs="Arial" w:eastAsia="Arial" w:hAnsi="Arial"/>
          <w:sz w:val="24"/>
          <w:szCs w:val="24"/>
        </w:rPr>
        <w:t xml:space="preserve">Не допускается крепление надувных аттракционов:</w:t>
      </w:r>
    </w:p>
    <w:p>
      <w:pPr>
        <w:spacing w:after="60"/>
        <w:ind w:firstLine="567"/>
        <w:jc w:val="both"/>
      </w:pPr>
      <w:r>
        <w:rPr>
          <w:rFonts w:ascii="Arial" w:cs="Arial" w:eastAsia="Arial" w:hAnsi="Arial"/>
          <w:sz w:val="24"/>
          <w:szCs w:val="24"/>
        </w:rPr>
        <w:t xml:space="preserve">- за транспортные средства;</w:t>
      </w:r>
    </w:p>
    <w:p>
      <w:pPr>
        <w:spacing w:after="60"/>
        <w:ind w:firstLine="567"/>
        <w:jc w:val="both"/>
      </w:pPr>
      <w:r>
        <w:rPr>
          <w:rFonts w:ascii="Arial" w:cs="Arial" w:eastAsia="Arial" w:hAnsi="Arial"/>
          <w:sz w:val="24"/>
          <w:szCs w:val="24"/>
        </w:rPr>
        <w:t xml:space="preserve">- за систему ограничения доступа;</w:t>
      </w:r>
    </w:p>
    <w:p>
      <w:pPr>
        <w:spacing w:after="60"/>
        <w:ind w:firstLine="567"/>
        <w:jc w:val="both"/>
      </w:pPr>
      <w:r>
        <w:rPr>
          <w:rFonts w:ascii="Arial" w:cs="Arial" w:eastAsia="Arial" w:hAnsi="Arial"/>
          <w:sz w:val="24"/>
          <w:szCs w:val="24"/>
        </w:rPr>
        <w:t xml:space="preserve">- между собой;</w:t>
      </w:r>
    </w:p>
    <w:p>
      <w:pPr>
        <w:spacing w:after="60"/>
        <w:ind w:firstLine="567"/>
        <w:jc w:val="both"/>
      </w:pPr>
      <w:r>
        <w:rPr>
          <w:rFonts w:ascii="Arial" w:cs="Arial" w:eastAsia="Arial" w:hAnsi="Arial"/>
          <w:sz w:val="24"/>
          <w:szCs w:val="24"/>
        </w:rPr>
        <w:t xml:space="preserve">- к опорам линий электропередачи, стойкам рекламных щитов и иным предметам, не предназначенным для фиксации надувного аттракциона, или не указанным в эксплуатационной документации.</w:t>
      </w:r>
    </w:p>
    <w:p>
      <w:pPr>
        <w:spacing w:after="60"/>
        <w:ind w:firstLine="567"/>
        <w:jc w:val="both"/>
      </w:pPr>
      <w:r>
        <w:rPr>
          <w:rFonts w:ascii="Arial" w:cs="Arial" w:eastAsia="Arial" w:hAnsi="Arial"/>
          <w:sz w:val="24"/>
          <w:szCs w:val="24"/>
        </w:rPr>
        <w:t xml:space="preserve">23. После каждой установки надувного аттракциона на новом месте перед началом эксплуатации его с пассажирами эксплуатант обеспечивает проведение полной проверки, осуществление пробного пуска работы надувного аттракциона в режиме эксплуатации без пассажиров и оформление результатов в разделе 5 журнала учета эксплуатации.</w:t>
      </w:r>
    </w:p>
    <w:p>
      <w:pPr>
        <w:spacing w:after="60"/>
        <w:ind w:firstLine="567"/>
        <w:jc w:val="both"/>
      </w:pPr>
      <w:r>
        <w:rPr>
          <w:rFonts w:ascii="Arial" w:cs="Arial" w:eastAsia="Arial" w:hAnsi="Arial"/>
          <w:sz w:val="24"/>
          <w:szCs w:val="24"/>
        </w:rPr>
        <w:t xml:space="preserve">Полная проверка проводится в соответствии с требованиями эксплуатационных документов.</w:t>
      </w:r>
    </w:p>
    <w:p>
      <w:pPr>
        <w:spacing w:after="60"/>
        <w:ind w:firstLine="567"/>
        <w:jc w:val="both"/>
      </w:pPr>
      <w:r>
        <w:rPr>
          <w:rFonts w:ascii="Arial" w:cs="Arial" w:eastAsia="Arial" w:hAnsi="Arial"/>
          <w:sz w:val="24"/>
          <w:szCs w:val="24"/>
        </w:rPr>
        <w:t xml:space="preserve">24. При установке надувного аттракциона необходимо контролировать состояние грунта, покрытия площадки, чтобы убедиться в отсутствии ухудшения их несущей способности.</w:t>
      </w:r>
    </w:p>
    <w:p>
      <w:pPr>
        <w:spacing w:after="60"/>
        <w:ind w:firstLine="567"/>
        <w:jc w:val="both"/>
      </w:pPr>
      <w:r>
        <w:rPr>
          <w:rFonts w:ascii="Arial" w:cs="Arial" w:eastAsia="Arial" w:hAnsi="Arial"/>
          <w:sz w:val="24"/>
          <w:szCs w:val="24"/>
        </w:rPr>
        <w:t xml:space="preserve">25. При парасейлинге необходимо соблюдать следующие требования безопасности:</w:t>
      </w:r>
    </w:p>
    <w:p>
      <w:pPr>
        <w:spacing w:after="60"/>
        <w:ind w:firstLine="567"/>
        <w:jc w:val="both"/>
      </w:pPr>
      <w:r>
        <w:rPr>
          <w:rFonts w:ascii="Arial" w:cs="Arial" w:eastAsia="Arial" w:hAnsi="Arial"/>
          <w:sz w:val="24"/>
          <w:szCs w:val="24"/>
        </w:rPr>
        <w:t xml:space="preserve">- скорость катера (или иного транспортного средства) должна составлять 50-60 км/час;</w:t>
      </w:r>
    </w:p>
    <w:p>
      <w:pPr>
        <w:spacing w:after="60"/>
        <w:ind w:firstLine="567"/>
        <w:jc w:val="both"/>
      </w:pPr>
      <w:r>
        <w:rPr>
          <w:rFonts w:ascii="Arial" w:cs="Arial" w:eastAsia="Arial" w:hAnsi="Arial"/>
          <w:sz w:val="24"/>
          <w:szCs w:val="24"/>
        </w:rPr>
        <w:t xml:space="preserve">- длина веревки должна составлять около 120 м при высоте полета до 60 м. Вес парящего не должен превышать 110 кг;</w:t>
      </w:r>
    </w:p>
    <w:p>
      <w:pPr>
        <w:spacing w:after="60"/>
        <w:ind w:firstLine="567"/>
        <w:jc w:val="both"/>
      </w:pPr>
      <w:r>
        <w:rPr>
          <w:rFonts w:ascii="Arial" w:cs="Arial" w:eastAsia="Arial" w:hAnsi="Arial"/>
          <w:sz w:val="24"/>
          <w:szCs w:val="24"/>
        </w:rPr>
        <w:t xml:space="preserve">- близлежащая водная (земная) поверхность должна быть свободна от каких-либо препятствий;</w:t>
      </w:r>
    </w:p>
    <w:p>
      <w:pPr>
        <w:spacing w:after="60"/>
        <w:ind w:firstLine="567"/>
        <w:jc w:val="both"/>
      </w:pPr>
      <w:r>
        <w:rPr>
          <w:rFonts w:ascii="Arial" w:cs="Arial" w:eastAsia="Arial" w:hAnsi="Arial"/>
          <w:sz w:val="24"/>
          <w:szCs w:val="24"/>
        </w:rPr>
        <w:t xml:space="preserve">- благоприятные погодные условия, несильный ветер (движение осуществляется против ветра);</w:t>
      </w:r>
    </w:p>
    <w:p>
      <w:pPr>
        <w:spacing w:after="60"/>
        <w:ind w:firstLine="567"/>
        <w:jc w:val="both"/>
      </w:pPr>
      <w:r>
        <w:rPr>
          <w:rFonts w:ascii="Arial" w:cs="Arial" w:eastAsia="Arial" w:hAnsi="Arial"/>
          <w:sz w:val="24"/>
          <w:szCs w:val="24"/>
        </w:rPr>
        <w:t xml:space="preserve">- опытная команда минимум из трех человек - руководителя полетов, водителя катера и помощника;</w:t>
      </w:r>
    </w:p>
    <w:p>
      <w:pPr>
        <w:spacing w:after="60"/>
        <w:ind w:firstLine="567"/>
        <w:jc w:val="both"/>
      </w:pPr>
      <w:r>
        <w:rPr>
          <w:rFonts w:ascii="Arial" w:cs="Arial" w:eastAsia="Arial" w:hAnsi="Arial"/>
          <w:sz w:val="24"/>
          <w:szCs w:val="24"/>
        </w:rPr>
        <w:t xml:space="preserve">- ежедневная проверка оборудования, тщательный инструктаж пассажиров с регистрацией в журнале по технике безопасности.</w:t>
      </w:r>
    </w:p>
    <w:p>
      <w:pPr>
        <w:spacing w:after="60"/>
        <w:ind w:firstLine="567"/>
        <w:jc w:val="both"/>
      </w:pPr>
      <w:r>
        <w:rPr>
          <w:rFonts w:ascii="Arial" w:cs="Arial" w:eastAsia="Arial" w:hAnsi="Arial"/>
          <w:sz w:val="24"/>
          <w:szCs w:val="24"/>
        </w:rPr>
        <w:t xml:space="preserve">26. Посадка с парашютом на воду разрешается выполнять только днем при температуре воды не ниже 17 ºС и глубине зоны приводнения не менее 1,5 м при наличии у парашютистов шлемов и индивидуальных спасательных плавательных жилетов.</w:t>
      </w:r>
    </w:p>
    <w:p>
      <w:pPr>
        <w:spacing w:after="60"/>
        <w:ind w:firstLine="567"/>
        <w:jc w:val="both"/>
      </w:pPr>
      <w:r>
        <w:rPr>
          <w:rFonts w:ascii="Arial" w:cs="Arial" w:eastAsia="Arial" w:hAnsi="Arial"/>
          <w:sz w:val="24"/>
          <w:szCs w:val="24"/>
        </w:rPr>
        <w:t xml:space="preserve">27. Центр района приводнения должен быть не ближе 100 м от трасс движения катеров и скутеров. Плавательные средства, предназначенные для подбора парашютистов и отцепленных парашютов, должны быть моторными.</w:t>
      </w:r>
    </w:p>
    <w:p>
      <w:pPr>
        <w:spacing w:after="60"/>
        <w:ind w:firstLine="567"/>
        <w:jc w:val="both"/>
      </w:pPr>
      <w:r>
        <w:rPr>
          <w:rFonts w:ascii="Arial" w:cs="Arial" w:eastAsia="Arial" w:hAnsi="Arial"/>
          <w:sz w:val="24"/>
          <w:szCs w:val="24"/>
        </w:rPr>
        <w:t xml:space="preserve">28. Посадка с парашютом на землю разрешается в зоне, свободной от любых препятствий, которые могут привести к травмированию пассажиров, посетителей, обслуживающего персонала. Ширина указанной зоны должна составлять не менее 5 м.".</w:t>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bqnkn11gfpkqh-mkmlh">
      <w:r>
        <w:rPr>
          <w:rFonts w:ascii="Arial" w:cs="Arial" w:eastAsia="Arial" w:hAnsi="Arial"/>
          <w:color w:val="132D3F"/>
          <w:sz w:val="16"/>
          <w:szCs w:val="16"/>
          <w:u w:val="single"/>
        </w:rPr>
        <w:t xml:space="preserve">dalil.kg/document/230011188</w:t>
      </w:r>
    </w:hyperlink>
  </w:p>
  <w:p>
    <w:pPr>
      <w:spacing w:after="0" w:before="40"/>
      <w:jc w:val="center"/>
    </w:pPr>
    <w:hyperlink w:history="1" r:id="rIdz7plrngsk64nhe1mgzt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2nungqsw5ooeucgssocl" Type="http://schemas.openxmlformats.org/officeDocument/2006/relationships/hyperlink" Target="https://dalil.kg/document/112301#st_13" TargetMode="External"/><Relationship Id="rIdbaz0kyqmvep1u1ecodlpd" Type="http://schemas.openxmlformats.org/officeDocument/2006/relationships/hyperlink" Target="https://dalil.kg/document/112301#st_17" TargetMode="External"/><Relationship Id="rIdhy639wv2zehsg0yqnkbmc" Type="http://schemas.openxmlformats.org/officeDocument/2006/relationships/hyperlink" Target="https://dalil.kg/document/158871" TargetMode="External"/><Relationship Id="rIdlu78gnw8lvuueqvexixlu" Type="http://schemas.openxmlformats.org/officeDocument/2006/relationships/hyperlink" Target="https://dalil.kg/document/158876" TargetMode="External"/><Relationship Id="rIdkipra6remx8vuwawa26lw" Type="http://schemas.openxmlformats.org/officeDocument/2006/relationships/hyperlink" Target="https://dalil.kg/document/158871" TargetMode="External"/><Relationship Id="rIdg5zyj3tv6uylhw3orzgv2" Type="http://schemas.openxmlformats.org/officeDocument/2006/relationships/hyperlink" Target="https://dalil.kg/document/230005243" TargetMode="External"/><Relationship Id="rIdl9tenxqhd4sht-fohfvwi" Type="http://schemas.openxmlformats.org/officeDocument/2006/relationships/hyperlink" Target="https://dalil.kg/document/230005251" TargetMode="External"/><Relationship Id="rIdwkudt9ocn8pt-rs2-xady" Type="http://schemas.openxmlformats.org/officeDocument/2006/relationships/hyperlink" Target="https://dalil.kg/document/230005251" TargetMode="External"/><Relationship Id="rIdrjf8dmeatxwostaddqp6k" Type="http://schemas.openxmlformats.org/officeDocument/2006/relationships/hyperlink" Target="https://dalil.kg/document/230005243" TargetMode="External"/><Relationship Id="rIdvc25wtubpskd7jx6w_kmw" Type="http://schemas.openxmlformats.org/officeDocument/2006/relationships/hyperlink" Target="https://dalil.kg/document/230005251#pr1" TargetMode="External"/><Relationship Id="rIdaobqzm-mdtscsjtiyktak" Type="http://schemas.openxmlformats.org/officeDocument/2006/relationships/hyperlink" Target="https://dalil.kg/document/230005251#pr12" TargetMode="External"/><Relationship Id="rIdx7l2nynle1aq14fpl2qkx" Type="http://schemas.openxmlformats.org/officeDocument/2006/relationships/hyperlink" Target="https://dalil.kg/document/230005251#pr1" TargetMode="External"/><Relationship Id="rIdx1xpw1rdfmak1ylvqtjg7" Type="http://schemas.openxmlformats.org/officeDocument/2006/relationships/hyperlink" Target="https://dalil.kg/document/230005251#pr1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bqnkn11gfpkqh-mkmlh" Type="http://schemas.openxmlformats.org/officeDocument/2006/relationships/hyperlink" Target="https://dalil.kg/document/230011188" TargetMode="External"/><Relationship Id="rIdz7plrngsk64nhe1mgzt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2026-09-24T14:03:09.638Z</dcterms:created>
  <dcterms:modified xsi:type="dcterms:W3CDTF">2026-09-24T14:03:09.638Z</dcterms:modified>
</cp:coreProperties>
</file>

<file path=docProps/custom.xml><?xml version="1.0" encoding="utf-8"?>
<Properties xmlns="http://schemas.openxmlformats.org/officeDocument/2006/custom-properties" xmlns:vt="http://schemas.openxmlformats.org/officeDocument/2006/docPropsVTypes"/>
</file>