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4 июля 2024 года № 361</w:t>
      </w:r>
    </w:p>
    <w:p>
      <w:pPr>
        <w:spacing w:after="400" w:before="400"/>
        <w:jc w:val="center"/>
      </w:pPr>
      <w:r>
        <w:rPr>
          <w:rFonts w:ascii="Arial" w:cs="Arial" w:eastAsia="Arial" w:hAnsi="Arial"/>
          <w:b/>
          <w:bCs/>
          <w:sz w:val="28"/>
          <w:szCs w:val="28"/>
        </w:rPr>
        <w:t xml:space="preserve">О введении маркировки топлива</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a0padiqcrtruas00ibjjv">
        <w:r>
          <w:rPr>
            <w:rFonts w:ascii="Arial" w:cs="Arial" w:eastAsia="Arial" w:hAnsi="Arial"/>
            <w:i/>
            <w:iCs/>
            <w:color w:val="1D4ED8"/>
            <w:sz w:val="24"/>
            <w:szCs w:val="24"/>
            <w:u w:val="single"/>
          </w:rPr>
          <w:t xml:space="preserve">23 августа 2024 года № 499, </w:t>
        </w:r>
      </w:hyperlink>
      <w:hyperlink w:history="1" r:id="rIdswyefvtyanjesk2necibo">
        <w:r>
          <w:rPr>
            <w:rFonts w:ascii="Arial" w:cs="Arial" w:eastAsia="Arial" w:hAnsi="Arial"/>
            <w:i/>
            <w:iCs/>
            <w:color w:val="1D4ED8"/>
            <w:sz w:val="24"/>
            <w:szCs w:val="24"/>
            <w:u w:val="single"/>
          </w:rPr>
          <w:t xml:space="preserve">4 апреля 2025 года № 179, </w:t>
        </w:r>
      </w:hyperlink>
      <w:hyperlink w:history="1" r:id="rIdwfoyhj3tzy9dzuvd3t5jo">
        <w:r>
          <w:rPr>
            <w:rFonts w:ascii="Arial" w:cs="Arial" w:eastAsia="Arial" w:hAnsi="Arial"/>
            <w:i/>
            <w:iCs/>
            <w:color w:val="1D4ED8"/>
            <w:sz w:val="24"/>
            <w:szCs w:val="24"/>
            <w:u w:val="single"/>
          </w:rPr>
          <w:t xml:space="preserve">28 августа 2025 года № 533)</w:t>
        </w:r>
      </w:hyperlink>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требований части 1 </w:t>
      </w:r>
      <w:hyperlink w:history="1" r:id="rId7boz6agfn3tbg6p6d8_hi">
        <w:r>
          <w:rPr>
            <w:rFonts w:ascii="Arial" w:cs="Arial" w:eastAsia="Arial" w:hAnsi="Arial"/>
            <w:color w:val="1D4ED8"/>
            <w:sz w:val="24"/>
            <w:szCs w:val="24"/>
            <w:u w:val="single"/>
          </w:rPr>
          <w:t xml:space="preserve">статьи 345</w:t>
        </w:r>
      </w:hyperlink>
      <w:r>
        <w:rPr>
          <w:rFonts w:ascii="Arial" w:cs="Arial" w:eastAsia="Arial" w:hAnsi="Arial"/>
          <w:sz w:val="24"/>
          <w:szCs w:val="24"/>
        </w:rPr>
        <w:t xml:space="preserve"> Налогового кодекса Кыргызской Республики, в соответствии со статьями </w:t>
      </w:r>
      <w:hyperlink w:history="1" r:id="rIdmn18cvk5h5t7dpfburdu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pdul1yxjbizxnrvxapy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 </w:t>
      </w:r>
      <w:r>
        <w:rPr>
          <w:rFonts w:ascii="Arial" w:cs="Arial" w:eastAsia="Arial" w:hAnsi="Arial"/>
          <w:sz w:val="24"/>
          <w:szCs w:val="24"/>
        </w:rPr>
        <w:t xml:space="preserve">Положение</w:t>
      </w:r>
      <w:r>
        <w:rPr>
          <w:rFonts w:ascii="Arial" w:cs="Arial" w:eastAsia="Arial" w:hAnsi="Arial"/>
          <w:sz w:val="24"/>
          <w:szCs w:val="24"/>
        </w:rPr>
        <w:t xml:space="preserve"> о порядке применения топливного маркера в Кыргызской Республике согласно </w:t>
      </w:r>
      <w:hyperlink w:history="1" r:id="rIdphbxns9lbl6g-x8vvrqx8">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Установить, что:</w:t>
      </w:r>
    </w:p>
    <w:p>
      <w:pPr>
        <w:spacing w:after="60"/>
        <w:ind w:firstLine="567"/>
        <w:jc w:val="both"/>
      </w:pPr>
      <w:r>
        <w:rPr>
          <w:rFonts w:ascii="Arial" w:cs="Arial" w:eastAsia="Arial" w:hAnsi="Arial"/>
          <w:sz w:val="24"/>
          <w:szCs w:val="24"/>
        </w:rPr>
        <w:t xml:space="preserve">1) с 1 октября 2024 года маркировке топливным маркером подлежат бензины моторные, специальные, легкие и средние дистилляты, прочие бензины и дистилляты, присадки и антидетонаторы, классифицируемые в товарных позициях ТН ВЭД 2707101000, 2709001001, 2709001009, 271012110–271012900, 2710191100–2710191500, 2710192500, 27101209000, 3811119000, 3811190000, дизтопливо, классифицируемое в товарных позициях ТН ВЭД 2710193100–2710194800, 2710201100–2710201900, и средние дистилляты (в отношении зимнего дизельного топлива), классифицируемые в товарной позиции ТН ВЭД 2710192900, за исключением жидких очистителей, спреев для автомобилей и уайт –спирита, не предназначенных для использования в качестве автомобильного топлива, расфасованных в тару объемом 10 литров и менее, классифицируемых в товарных позициях ТН ВЭД 3811190000, 2710122509, 2710122100;</w:t>
      </w:r>
    </w:p>
    <w:p>
      <w:pPr>
        <w:spacing w:after="60"/>
        <w:ind w:firstLine="567"/>
        <w:jc w:val="both"/>
      </w:pPr>
      <w:r>
        <w:rPr>
          <w:rFonts w:ascii="Arial" w:cs="Arial" w:eastAsia="Arial" w:hAnsi="Arial"/>
          <w:sz w:val="24"/>
          <w:szCs w:val="24"/>
        </w:rPr>
        <w:t xml:space="preserve">2) с 1 января 2025 года запрещается оборот остатков немаркированного топлива, указанного в подпункте 1 настоящего пункта;</w:t>
      </w:r>
    </w:p>
    <w:p>
      <w:pPr>
        <w:spacing w:after="60"/>
        <w:ind w:firstLine="567"/>
        <w:jc w:val="both"/>
      </w:pPr>
      <w:r>
        <w:rPr>
          <w:rFonts w:ascii="Arial" w:cs="Arial" w:eastAsia="Arial" w:hAnsi="Arial"/>
          <w:sz w:val="24"/>
          <w:szCs w:val="24"/>
        </w:rPr>
        <w:t xml:space="preserve">3) налогоплательщики обязаны замаркировать остатки топлива в срок до введения запрета оборота немаркированного топлива.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j0ujb-kamhn8o-jpp2qvy">
        <w:r>
          <w:rPr>
            <w:rFonts w:ascii="Arial" w:cs="Arial" w:eastAsia="Arial" w:hAnsi="Arial"/>
            <w:i/>
            <w:iCs/>
            <w:color w:val="1D4ED8"/>
            <w:sz w:val="24"/>
            <w:szCs w:val="24"/>
            <w:u w:val="single"/>
          </w:rPr>
          <w:t xml:space="preserve">23 августа 2024 года № 499, </w:t>
        </w:r>
      </w:hyperlink>
      <w:hyperlink w:history="1" r:id="rIdz7oopxjaohfkckym707rt">
        <w:r>
          <w:rPr>
            <w:rFonts w:ascii="Arial" w:cs="Arial" w:eastAsia="Arial" w:hAnsi="Arial"/>
            <w:i/>
            <w:iCs/>
            <w:color w:val="1D4ED8"/>
            <w:sz w:val="24"/>
            <w:szCs w:val="24"/>
            <w:u w:val="single"/>
          </w:rPr>
          <w:t xml:space="preserve"> 4 апреля 2025 года № 179, </w:t>
        </w:r>
      </w:hyperlink>
      <w:hyperlink w:history="1" r:id="rIdopptgagmhrt16-xzasqpm">
        <w:r>
          <w:rPr>
            <w:rFonts w:ascii="Arial" w:cs="Arial" w:eastAsia="Arial" w:hAnsi="Arial"/>
            <w:i/>
            <w:iCs/>
            <w:color w:val="1D4ED8"/>
            <w:sz w:val="24"/>
            <w:szCs w:val="24"/>
            <w:u w:val="single"/>
          </w:rPr>
          <w:t xml:space="preserve">28 августа 2025 года № 533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 Внести в </w:t>
      </w:r>
      <w:hyperlink w:history="1" r:id="rIdocsowjvfyetkr_ditalt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учете и контроле товаров на территории Кыргызской Республики" от 14 апреля 2022 года № 220 следующие изменения:</w:t>
      </w:r>
    </w:p>
    <w:p>
      <w:pPr>
        <w:spacing w:after="60"/>
        <w:ind w:firstLine="567"/>
        <w:jc w:val="both"/>
      </w:pPr>
      <w:r>
        <w:rPr>
          <w:rFonts w:ascii="Arial" w:cs="Arial" w:eastAsia="Arial" w:hAnsi="Arial"/>
          <w:sz w:val="24"/>
          <w:szCs w:val="24"/>
        </w:rPr>
        <w:t xml:space="preserve">1) дополнить пунктом 1-1 следующего содержания:</w:t>
      </w:r>
    </w:p>
    <w:p>
      <w:pPr>
        <w:spacing w:after="60"/>
        <w:ind w:firstLine="567"/>
        <w:jc w:val="both"/>
      </w:pPr>
      <w:r>
        <w:rPr>
          <w:rFonts w:ascii="Arial" w:cs="Arial" w:eastAsia="Arial" w:hAnsi="Arial"/>
          <w:sz w:val="24"/>
          <w:szCs w:val="24"/>
        </w:rPr>
        <w:t xml:space="preserve">"1-1. Порядок применения контрольных пломб на нефтепродукты утверждается уполномоченным налоговым органом.</w:t>
      </w:r>
    </w:p>
    <w:p>
      <w:pPr>
        <w:spacing w:after="60"/>
        <w:ind w:firstLine="567"/>
        <w:jc w:val="both"/>
      </w:pPr>
      <w:r>
        <w:rPr>
          <w:rFonts w:ascii="Arial" w:cs="Arial" w:eastAsia="Arial" w:hAnsi="Arial"/>
          <w:sz w:val="24"/>
          <w:szCs w:val="24"/>
        </w:rPr>
        <w:t xml:space="preserve">Установить крайний срок применения контрольных пломб на нефтепродукты на территории Кыргызской Республики 31 декабря 2024 года.";</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Положение</w:t>
      </w:r>
      <w:r>
        <w:rPr>
          <w:rFonts w:ascii="Arial" w:cs="Arial" w:eastAsia="Arial" w:hAnsi="Arial"/>
          <w:sz w:val="24"/>
          <w:szCs w:val="24"/>
        </w:rPr>
        <w:t xml:space="preserve"> о порядке учета и контроля нефти и нефтепродуктов на территории Кыргызской Республики, утвержденное вышеуказанным </w:t>
      </w:r>
      <w:hyperlink w:history="1" r:id="rIdhr7udix2szydyinhbl71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5_hpmx-ggitarnq1gaud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4. Настоящее постановление подлежит официальному опубликованию и вступает в силу с 1 августа 2024 года.</w:t>
      </w:r>
    </w:p>
    <w:p>
      <w:pPr>
        <w:spacing w:after="60"/>
        <w:ind w:firstLine="567"/>
        <w:jc w:val="both"/>
      </w:pPr>
      <w:r>
        <w:rPr>
          <w:rFonts w:ascii="Arial" w:cs="Arial" w:eastAsia="Arial" w:hAnsi="Arial"/>
          <w:i/>
          <w:iCs/>
          <w:sz w:val="24"/>
          <w:szCs w:val="24"/>
        </w:rPr>
        <w:t xml:space="preserve">Опубликовано в официальной государственной газете "Эркин Тоо" от 9 июля 2024 года № 51 (3604)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
 о порядке учета и контроля нефти и нефтепродуктов на территории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учета и контроля за движением нефти и нефтепродуктов на территории Кыргызской Республики.</w:t>
      </w:r>
    </w:p>
    <w:p>
      <w:pPr>
        <w:spacing w:after="60"/>
        <w:ind w:firstLine="567"/>
        <w:jc w:val="both"/>
      </w:pPr>
      <w:r>
        <w:rPr>
          <w:rFonts w:ascii="Arial" w:cs="Arial" w:eastAsia="Arial" w:hAnsi="Arial"/>
          <w:sz w:val="24"/>
          <w:szCs w:val="24"/>
        </w:rPr>
        <w:t xml:space="preserve">2. Термины и определения, используемые в настоящем Положении, трактуются в значении, определенном настоящим Положением. В случае отсутствия трактовки терминов и определений в настоящем Положении термины и определения трактуются в значении, определенном соответствующим законодательством Кыргызской Республики и/или нормативными правовыми актами Евразийского экономического союза:</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автозаправочная станция (далее - АЗС)</w:t>
      </w:r>
      <w:r>
        <w:rPr>
          <w:rFonts w:ascii="Arial" w:cs="Arial" w:eastAsia="Arial" w:hAnsi="Arial"/>
          <w:sz w:val="24"/>
          <w:szCs w:val="24"/>
        </w:rPr>
        <w:t xml:space="preserve"> - станция по заправке автотранспортных средств бензином и дизельным топливом;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автоматизированная система управления автозаправочной станцией (далее - АСУ)</w:t>
      </w:r>
      <w:r>
        <w:rPr>
          <w:rFonts w:ascii="Arial" w:cs="Arial" w:eastAsia="Arial" w:hAnsi="Arial"/>
          <w:sz w:val="24"/>
          <w:szCs w:val="24"/>
        </w:rPr>
        <w:t xml:space="preserve"> - это система автоматизации станций по заправке автотранспортных средств нефтепродуктами, использующее подсистемы и соответствующее оборудование, в комплексе обеспечивающие управление функциями станций, в том числе синхронизацию работы топливно-раздаточных колонок и контрольно-кассовой машины в части отпуска нефтепродуктов только после пробития фискального чека;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автомобильные газозаправочные станции</w:t>
      </w:r>
      <w:r>
        <w:rPr>
          <w:rFonts w:ascii="Arial" w:cs="Arial" w:eastAsia="Arial" w:hAnsi="Arial"/>
          <w:sz w:val="24"/>
          <w:szCs w:val="24"/>
        </w:rPr>
        <w:t xml:space="preserve"> - станции по заправке автотранспортных средств нефтяным газом (пропан);</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автомобильные газонаполнительные компрессорные станции</w:t>
      </w:r>
      <w:r>
        <w:rPr>
          <w:rFonts w:ascii="Arial" w:cs="Arial" w:eastAsia="Arial" w:hAnsi="Arial"/>
          <w:sz w:val="24"/>
          <w:szCs w:val="24"/>
        </w:rPr>
        <w:t xml:space="preserve"> - станции по заправке автотранспортных средств природным газом (метан);</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газохранилище</w:t>
      </w:r>
      <w:r>
        <w:rPr>
          <w:rFonts w:ascii="Arial" w:cs="Arial" w:eastAsia="Arial" w:hAnsi="Arial"/>
          <w:sz w:val="24"/>
          <w:szCs w:val="24"/>
        </w:rPr>
        <w:t xml:space="preserve"> - комплекс сооружений и устройств для приема, хранения, перегрузки с одного вида транспорта на другой и отпуска сжиженного газа;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железнодорожный сливной тупик</w:t>
      </w:r>
      <w:r>
        <w:rPr>
          <w:rFonts w:ascii="Arial" w:cs="Arial" w:eastAsia="Arial" w:hAnsi="Arial"/>
          <w:sz w:val="24"/>
          <w:szCs w:val="24"/>
        </w:rPr>
        <w:t xml:space="preserve"> - место для разгрузки нефтепродуктов из железнодорожных цистерн (резервуаров) в цистерны;</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оператор маркировки топлива</w:t>
      </w:r>
      <w:r>
        <w:rPr>
          <w:rFonts w:ascii="Arial" w:cs="Arial" w:eastAsia="Arial" w:hAnsi="Arial"/>
          <w:sz w:val="24"/>
          <w:szCs w:val="24"/>
        </w:rPr>
        <w:t xml:space="preserve"> - государственный орган и/или организация с государственной долей собственности,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маркируемая продукция</w:t>
      </w:r>
      <w:r>
        <w:rPr>
          <w:rFonts w:ascii="Arial" w:cs="Arial" w:eastAsia="Arial" w:hAnsi="Arial"/>
          <w:sz w:val="24"/>
          <w:szCs w:val="24"/>
        </w:rPr>
        <w:t xml:space="preserve"> - производимые на территории Кыргызской Республики и импортируемые на территорию Кыргызской Республики бензины моторные, специальные, легкие и средние дистилляты, прочие бензины и дистилляты, классифицируемые в товарных позициях ТН ВЭД 271012110-271012900, 2710191100-2710191500, 2710192500, дизтопливо, классифицируемое в товарных позициях ТН ВЭД 2710193100-2710194800, 2710201100-2710201900, и средние дистилляты (в отношении зимнего дизельного топлива), классифицируемые в товарной позиции ТН ВЭД 2710192900;</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топливный маркер</w:t>
      </w:r>
      <w:r>
        <w:rPr>
          <w:rFonts w:ascii="Arial" w:cs="Arial" w:eastAsia="Arial" w:hAnsi="Arial"/>
          <w:sz w:val="24"/>
          <w:szCs w:val="24"/>
        </w:rPr>
        <w:t xml:space="preserve"> - молекулярный маркер, проникающий в молекулярный состав топлива, устойчивый к вымыванию, наличие которого проверяется специальными приборами, имеющими документ оценки соответствия;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информационная система "Электронная товаротранспортная накладная" (далее - ИС ЭТТН)</w:t>
      </w:r>
      <w:r>
        <w:rPr>
          <w:rFonts w:ascii="Arial" w:cs="Arial" w:eastAsia="Arial" w:hAnsi="Arial"/>
          <w:sz w:val="24"/>
          <w:szCs w:val="24"/>
        </w:rPr>
        <w:t xml:space="preserve"> - информационная система налогового администрирования Кыргызской Республики, используемая налогоплательщиками и уполномоченным налоговым органом;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нефтебаза</w:t>
      </w:r>
      <w:r>
        <w:rPr>
          <w:rFonts w:ascii="Arial" w:cs="Arial" w:eastAsia="Arial" w:hAnsi="Arial"/>
          <w:sz w:val="24"/>
          <w:szCs w:val="24"/>
        </w:rPr>
        <w:t xml:space="preserve"> - комплекс сооружений и устройств для приема, хранения, перегрузки с одного вида транспорта на другой и отпуска нефти, нефтепродуктов;</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нефтеперерабатывающий завод</w:t>
      </w:r>
      <w:r>
        <w:rPr>
          <w:rFonts w:ascii="Arial" w:cs="Arial" w:eastAsia="Arial" w:hAnsi="Arial"/>
          <w:sz w:val="24"/>
          <w:szCs w:val="24"/>
        </w:rPr>
        <w:t xml:space="preserve"> - промышленное предприятие, основной функцией которого является переработка нефти в бензин, авиационный керосин, мазут, дизельное топливо, смазочные масла, смазки, битумы, газы, сырье для нефтехимии;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нефтепродукты</w:t>
      </w:r>
      <w:r>
        <w:rPr>
          <w:rFonts w:ascii="Arial" w:cs="Arial" w:eastAsia="Arial" w:hAnsi="Arial"/>
          <w:sz w:val="24"/>
          <w:szCs w:val="24"/>
        </w:rPr>
        <w:t xml:space="preserve"> - продукты и компоненты, полученные в результате переработки сырой нефти и газа путем термокаталитического и нефтехимического синтеза и другими методами, по своим физико-химическим показателям соответствующие требованиям действующих межгосударственных стандартов (ГОСТ) и технических регламентов Евразийского экономического союза (далее - ЕАЭС);</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нефтехранилище</w:t>
      </w:r>
      <w:r>
        <w:rPr>
          <w:rFonts w:ascii="Arial" w:cs="Arial" w:eastAsia="Arial" w:hAnsi="Arial"/>
          <w:sz w:val="24"/>
          <w:szCs w:val="24"/>
        </w:rPr>
        <w:t xml:space="preserve"> - резервуар или система резервуаров для хранения нефти или продуктов ее переработки;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нефть</w:t>
      </w:r>
      <w:r>
        <w:rPr>
          <w:rFonts w:ascii="Arial" w:cs="Arial" w:eastAsia="Arial" w:hAnsi="Arial"/>
          <w:sz w:val="24"/>
          <w:szCs w:val="24"/>
        </w:rPr>
        <w:t xml:space="preserve"> - сырая нефть, а также углеводороды, полученные после очистки сырой нефти, переработки горючих сланцев и битуминозных пород;</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нефтяная скважина</w:t>
      </w:r>
      <w:r>
        <w:rPr>
          <w:rFonts w:ascii="Arial" w:cs="Arial" w:eastAsia="Arial" w:hAnsi="Arial"/>
          <w:sz w:val="24"/>
          <w:szCs w:val="24"/>
        </w:rPr>
        <w:t xml:space="preserve"> - горная выработка круглого сечения, предназначенная для добычи нефти;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оборудование по фиксации информации об отпуске продукции</w:t>
      </w:r>
      <w:r>
        <w:rPr>
          <w:rFonts w:ascii="Arial" w:cs="Arial" w:eastAsia="Arial" w:hAnsi="Arial"/>
          <w:sz w:val="24"/>
          <w:szCs w:val="24"/>
        </w:rPr>
        <w:t xml:space="preserve"> - оборудование, передающее информацию через Интернет посредством программного обеспечения (блок сопряжения);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партия нефтепродукта</w:t>
      </w:r>
      <w:r>
        <w:rPr>
          <w:rFonts w:ascii="Arial" w:cs="Arial" w:eastAsia="Arial" w:hAnsi="Arial"/>
          <w:sz w:val="24"/>
          <w:szCs w:val="24"/>
        </w:rPr>
        <w:t xml:space="preserve"> - количество нефтепродукта одной марки, сопровождаемое одним документом о качестве (паспортом);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паспорт качества</w:t>
      </w:r>
      <w:r>
        <w:rPr>
          <w:rFonts w:ascii="Arial" w:cs="Arial" w:eastAsia="Arial" w:hAnsi="Arial"/>
          <w:sz w:val="24"/>
          <w:szCs w:val="24"/>
        </w:rPr>
        <w:t xml:space="preserve"> - документ, устанавливающий соответствие численных значений показателей качества нефтепродукта, полученных в результате лабораторных испытаний, значениям, указанным в нормативном документе на данную марку нефтепродукта;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подакцизные нефтепродукты</w:t>
      </w:r>
      <w:r>
        <w:rPr>
          <w:rFonts w:ascii="Arial" w:cs="Arial" w:eastAsia="Arial" w:hAnsi="Arial"/>
          <w:sz w:val="24"/>
          <w:szCs w:val="24"/>
        </w:rPr>
        <w:t xml:space="preserve"> - нефтепродукты, включенные в классификатор ТН ВЭД ЕАЭС в Кыргызской Республике, реализация которых является объектом налогообложения по акцизам;</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потребитель</w:t>
      </w:r>
      <w:r>
        <w:rPr>
          <w:rFonts w:ascii="Arial" w:cs="Arial" w:eastAsia="Arial" w:hAnsi="Arial"/>
          <w:sz w:val="24"/>
          <w:szCs w:val="24"/>
        </w:rPr>
        <w:t xml:space="preserve"> - покупатель нефти, газа и продуктов их переработки непосредственно у производящей организации или на рынке;</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резервуар</w:t>
      </w:r>
      <w:r>
        <w:rPr>
          <w:rFonts w:ascii="Arial" w:cs="Arial" w:eastAsia="Arial" w:hAnsi="Arial"/>
          <w:sz w:val="24"/>
          <w:szCs w:val="24"/>
        </w:rPr>
        <w:t xml:space="preserve"> - стационарная емкость для хранения жидкостей и газов;</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сырая нефть</w:t>
      </w:r>
      <w:r>
        <w:rPr>
          <w:rFonts w:ascii="Arial" w:cs="Arial" w:eastAsia="Arial" w:hAnsi="Arial"/>
          <w:sz w:val="24"/>
          <w:szCs w:val="24"/>
        </w:rPr>
        <w:t xml:space="preserve"> - любые углеводороды независимо от их удельного веса, извлекаемые из недр в жидком состоянии при нормальной атмосферной температуре и давлении, включая жидкие углеводороды, известные под названием дистиллята (газоконденсата) или конденсата, образованные из природного газа путем естественной конденсации;</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топливно-раздаточная колонка</w:t>
      </w:r>
      <w:r>
        <w:rPr>
          <w:rFonts w:ascii="Arial" w:cs="Arial" w:eastAsia="Arial" w:hAnsi="Arial"/>
          <w:sz w:val="24"/>
          <w:szCs w:val="24"/>
        </w:rPr>
        <w:t xml:space="preserve"> - колонка по заправке автомашин нефтепродуктами;</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транспортировка</w:t>
      </w:r>
      <w:r>
        <w:rPr>
          <w:rFonts w:ascii="Arial" w:cs="Arial" w:eastAsia="Arial" w:hAnsi="Arial"/>
          <w:sz w:val="24"/>
          <w:szCs w:val="24"/>
        </w:rPr>
        <w:t xml:space="preserve"> - передача, распределение нефти, газа и продуктов их переработки на определенные расстояния по трубопроводам, другими видами транспорта от места их добычи до места их хранения и переработки, а также от места их переработки до потребителя;</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трубопровод</w:t>
      </w:r>
      <w:r>
        <w:rPr>
          <w:rFonts w:ascii="Arial" w:cs="Arial" w:eastAsia="Arial" w:hAnsi="Arial"/>
          <w:sz w:val="24"/>
          <w:szCs w:val="24"/>
        </w:rPr>
        <w:t xml:space="preserve"> - трубы любого диаметра под или над землей, предназначенные для транспортировки нефти, газа и продуктов их переработки;</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цистерна</w:t>
      </w:r>
      <w:r>
        <w:rPr>
          <w:rFonts w:ascii="Arial" w:cs="Arial" w:eastAsia="Arial" w:hAnsi="Arial"/>
          <w:sz w:val="24"/>
          <w:szCs w:val="24"/>
        </w:rPr>
        <w:t xml:space="preserve"> - закрытое сооружение (емкость) для хранения или транспортировки жидкостей, сжиженных газов;</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электронная товаротранспортная накладная (далее - ЭТТН)</w:t>
      </w:r>
      <w:r>
        <w:rPr>
          <w:rFonts w:ascii="Arial" w:cs="Arial" w:eastAsia="Arial" w:hAnsi="Arial"/>
          <w:sz w:val="24"/>
          <w:szCs w:val="24"/>
        </w:rPr>
        <w:t xml:space="preserve"> - документ, оформляемый участником электронного документооборота при обороте товаров посредством ИС ЭТТН, по форме, утверждаемой уполномоченным налоговым органом.</w:t>
      </w:r>
    </w:p>
    <w:p>
      <w:pPr>
        <w:spacing w:after="60"/>
        <w:ind w:firstLine="567"/>
        <w:jc w:val="both"/>
      </w:pPr>
      <w:r>
        <w:rPr>
          <w:rFonts w:ascii="Arial" w:cs="Arial" w:eastAsia="Arial" w:hAnsi="Arial"/>
          <w:sz w:val="24"/>
          <w:szCs w:val="24"/>
        </w:rPr>
        <w:t xml:space="preserve">3. Добыча, ввоз, производство, переработка, передвижение, хранение, отгрузка и реализация нефти и нефтепродуктов осуществляются в соответствии с настоящим Положением. К нефти и нефтепродуктам относятся товары, указанные в таблице к настоящему Положению.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w:t>
      </w:r>
    </w:p>
    <w:p>
      <w:pPr>
        <w:spacing w:after="6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7188"/>
        <w:gridCol w:w="2467"/>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1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c>
          <w:tcPr>
            <w:tcW w:type="dxa" w:w="24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r>
              <w:rPr>
                <w:rFonts w:ascii="Arial" w:cs="Arial" w:eastAsia="Arial" w:hAnsi="Arial"/>
                <w:sz w:val="24"/>
                <w:szCs w:val="24"/>
              </w:rPr>
              <w:t xml:space="preserve">нефть сырая и нефтепродукты сырые, полученные из битуминозных пород</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00 900 1 -
 2709 00 900 9</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r>
              <w:rPr>
                <w:rFonts w:ascii="Arial" w:cs="Arial" w:eastAsia="Arial" w:hAnsi="Arial"/>
                <w:sz w:val="24"/>
                <w:szCs w:val="24"/>
              </w:rPr>
              <w:t xml:space="preserve">бензин автомобильный</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12 110 -
 2710 12 900 8;</w:t>
            </w:r>
            <w:r>
              <w:rPr>
                <w:rFonts w:ascii="Arial" w:cs="Arial" w:eastAsia="Arial" w:hAnsi="Arial"/>
                <w:sz w:val="24"/>
                <w:szCs w:val="24"/>
              </w:rPr>
              <w:t xml:space="preserve">2710 19 110 0 -
 2710 19 150 0;</w:t>
            </w:r>
            <w:r>
              <w:rPr>
                <w:rFonts w:ascii="Arial" w:cs="Arial" w:eastAsia="Arial" w:hAnsi="Arial"/>
                <w:sz w:val="24"/>
                <w:szCs w:val="24"/>
              </w:rPr>
              <w:t xml:space="preserve"> 2710 19 250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2710 19 210 0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19 290 0;</w:t>
            </w:r>
            <w:r>
              <w:rPr>
                <w:rFonts w:ascii="Arial" w:cs="Arial" w:eastAsia="Arial" w:hAnsi="Arial"/>
                <w:sz w:val="24"/>
                <w:szCs w:val="24"/>
              </w:rPr>
              <w:t xml:space="preserve">2710 19 310 0 -
 2710 19 480 0;</w:t>
            </w:r>
            <w:r>
              <w:rPr>
                <w:rFonts w:ascii="Arial" w:cs="Arial" w:eastAsia="Arial" w:hAnsi="Arial"/>
                <w:sz w:val="24"/>
                <w:szCs w:val="24"/>
              </w:rPr>
              <w:t xml:space="preserve">2710 20 110 0 -
 2710 20 190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19 510 -
 2710 19 680 9;</w:t>
            </w:r>
            <w:r>
              <w:rPr>
                <w:rFonts w:ascii="Arial" w:cs="Arial" w:eastAsia="Arial" w:hAnsi="Arial"/>
                <w:sz w:val="24"/>
                <w:szCs w:val="24"/>
              </w:rPr>
              <w:t xml:space="preserve">2710 20 310 1 -
 2710 20 390 9</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природный газ для использования в качестве топлива для автотранспортных средств (метан)</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 11 000 0;</w:t>
            </w:r>
            <w:r>
              <w:rPr>
                <w:rFonts w:ascii="Arial" w:cs="Arial" w:eastAsia="Arial" w:hAnsi="Arial"/>
                <w:sz w:val="24"/>
                <w:szCs w:val="24"/>
              </w:rPr>
              <w:t xml:space="preserve">2711 21 000 0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нефтяной газ для использования в качестве топлива для автотранспортных средств (пропан)</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 12 110 0;</w:t>
            </w:r>
            <w:r>
              <w:rPr>
                <w:rFonts w:ascii="Arial" w:cs="Arial" w:eastAsia="Arial" w:hAnsi="Arial"/>
                <w:sz w:val="24"/>
                <w:szCs w:val="24"/>
              </w:rPr>
              <w:t xml:space="preserve">2711 12 190 0;</w:t>
            </w:r>
            <w:r>
              <w:rPr>
                <w:rFonts w:ascii="Arial" w:cs="Arial" w:eastAsia="Arial" w:hAnsi="Arial"/>
                <w:sz w:val="24"/>
                <w:szCs w:val="24"/>
              </w:rPr>
              <w:t xml:space="preserve">2711 12 970 0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этанольные топлива для двигателей с принудительным зажиганием</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2710 12 419 0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другие продукты высокотемпературной перегонки каменноугольной смолы;</w:t>
            </w:r>
            <w:r>
              <w:rPr>
                <w:rFonts w:ascii="Arial" w:cs="Arial" w:eastAsia="Arial" w:hAnsi="Arial"/>
                <w:sz w:val="24"/>
                <w:szCs w:val="24"/>
              </w:rPr>
              <w:t xml:space="preserve">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 10 100 0;</w:t>
            </w:r>
            <w:r>
              <w:rPr>
                <w:rFonts w:ascii="Arial" w:cs="Arial" w:eastAsia="Arial" w:hAnsi="Arial"/>
                <w:sz w:val="24"/>
                <w:szCs w:val="24"/>
              </w:rPr>
              <w:t xml:space="preserve">2707 99 110 0 -
 2707 99 990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или более нефти или нефтепродуктов, полученных из битуминозных пород, причем эти нефтепродукты являются основными составляющими продуктов, содержащих биодизель, за исключением отработанных нефтепродуктов</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w:t>
            </w:r>
            <w:r>
              <w:rPr>
                <w:rFonts w:ascii="Arial" w:cs="Arial" w:eastAsia="Arial" w:hAnsi="Arial"/>
                <w:sz w:val="24"/>
                <w:szCs w:val="24"/>
              </w:rPr>
              <w:t xml:space="preserve">2710 12 150 9;</w:t>
            </w:r>
            <w:r>
              <w:rPr>
                <w:rFonts w:ascii="Arial" w:cs="Arial" w:eastAsia="Arial" w:hAnsi="Arial"/>
                <w:sz w:val="24"/>
                <w:szCs w:val="24"/>
              </w:rPr>
              <w:t xml:space="preserve">2710 12 250;</w:t>
            </w:r>
            <w:r>
              <w:rPr>
                <w:rFonts w:ascii="Arial" w:cs="Arial" w:eastAsia="Arial" w:hAnsi="Arial"/>
                <w:sz w:val="24"/>
                <w:szCs w:val="24"/>
              </w:rPr>
              <w:t xml:space="preserve">2710 12 900;</w:t>
            </w:r>
            <w:r>
              <w:rPr>
                <w:rFonts w:ascii="Arial" w:cs="Arial" w:eastAsia="Arial" w:hAnsi="Arial"/>
                <w:sz w:val="24"/>
                <w:szCs w:val="24"/>
              </w:rPr>
              <w:t xml:space="preserve">2710 19;</w:t>
            </w:r>
            <w:r>
              <w:rPr>
                <w:rFonts w:ascii="Arial" w:cs="Arial" w:eastAsia="Arial" w:hAnsi="Arial"/>
                <w:sz w:val="24"/>
                <w:szCs w:val="24"/>
              </w:rPr>
              <w:t xml:space="preserve">3826 00 900 0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смазочные; масла прочие</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19 710 0 -
 2710 19 980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2710 20 900 0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нефтяные и углеводороды газообразные прочие (композит газовый стабильный)</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00 100 1;</w:t>
            </w:r>
            <w:r>
              <w:rPr>
                <w:rFonts w:ascii="Arial" w:cs="Arial" w:eastAsia="Arial" w:hAnsi="Arial"/>
                <w:sz w:val="24"/>
                <w:szCs w:val="24"/>
              </w:rPr>
              <w:t xml:space="preserve">2709 00 100 9</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11 100 0 -
 3811 11 900 0;</w:t>
            </w:r>
            <w:r>
              <w:rPr>
                <w:rFonts w:ascii="Arial" w:cs="Arial" w:eastAsia="Arial" w:hAnsi="Arial"/>
                <w:sz w:val="24"/>
                <w:szCs w:val="24"/>
              </w:rPr>
              <w:t xml:space="preserve">3811 19 000 0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21 000 0;</w:t>
            </w:r>
            <w:r>
              <w:rPr>
                <w:rFonts w:ascii="Arial" w:cs="Arial" w:eastAsia="Arial" w:hAnsi="Arial"/>
                <w:sz w:val="24"/>
                <w:szCs w:val="24"/>
              </w:rPr>
              <w:t xml:space="preserve">3811 29 000 0;</w:t>
            </w:r>
            <w:r>
              <w:rPr>
                <w:rFonts w:ascii="Arial" w:cs="Arial" w:eastAsia="Arial" w:hAnsi="Arial"/>
                <w:sz w:val="24"/>
                <w:szCs w:val="24"/>
              </w:rPr>
              <w:t xml:space="preserve">3811 90 000 0</w:t>
            </w:r>
          </w:p>
        </w:tc>
      </w:tr>
    </w:tbl>
    <w:p>
      <w:pPr>
        <w:spacing w:after="60" w:before="120"/>
        <w:ind w:firstLine="567"/>
        <w:jc w:val="both"/>
      </w:pPr>
      <w:r>
        <w:rPr>
          <w:rFonts w:ascii="Arial" w:cs="Arial" w:eastAsia="Arial" w:hAnsi="Arial"/>
          <w:sz w:val="24"/>
          <w:szCs w:val="24"/>
        </w:rPr>
        <w:t xml:space="preserve">4. Для реализации нефтепродуктов на территории Кыргызской Республики устанавливаются следующие требования:</w:t>
      </w:r>
    </w:p>
    <w:p>
      <w:pPr>
        <w:spacing w:after="60"/>
        <w:ind w:firstLine="567"/>
        <w:jc w:val="both"/>
      </w:pPr>
      <w:r>
        <w:rPr>
          <w:rFonts w:ascii="Arial" w:cs="Arial" w:eastAsia="Arial" w:hAnsi="Arial"/>
          <w:sz w:val="24"/>
          <w:szCs w:val="24"/>
        </w:rPr>
        <w:t xml:space="preserve">1) оптовая продажа осуществляется исключительно при условии владения на праве собственности или иных законных основаниях базой нефтепродуктов или резервуаров. Оптовой продаже подлежат только нефть и нефтепродукты, включенные в таблицу настоящего Положения и прошедшие идентификацию наименования и марки в соответствии с требованиями действующих межгосударственных стандартов (ГОСТ) и технических регламентов ЕАЭС, а также наличием маркировки топлива в отношении бензина и дизельного топлива.</w:t>
      </w:r>
    </w:p>
    <w:p>
      <w:pPr>
        <w:spacing w:after="60"/>
        <w:ind w:firstLine="567"/>
        <w:jc w:val="both"/>
      </w:pPr>
      <w:r>
        <w:rPr>
          <w:rFonts w:ascii="Arial" w:cs="Arial" w:eastAsia="Arial" w:hAnsi="Arial"/>
          <w:sz w:val="24"/>
          <w:szCs w:val="24"/>
        </w:rPr>
        <w:t xml:space="preserve">Каждая партия нефтепродуктов при оптовой (мелкооптовой) продаже должна иметь паспорт продукции. Паспорт продукции, выдаваемый изготовителем или продавцом (на предприятиях, осуществляющих хранение готовой к реализации продукции), содержит наименование и марку продукции, сведения об изготовителе (продавце) продукции, включая его адрес, нормативные значения характеристик для данного вида продукции, фактические значения этих характеристик, определенные по результатам испытаний, дату отбора проб, номер резервуара (номер партии), из которого данная проба отобрана, дату изготовления продукции, дату проведения анализа продукции, а также сведения о наличии (наименование и содержание) или отсутствии в продукции присадок;</w:t>
      </w:r>
    </w:p>
    <w:p>
      <w:pPr>
        <w:spacing w:after="60"/>
        <w:ind w:firstLine="567"/>
        <w:jc w:val="both"/>
      </w:pPr>
      <w:r>
        <w:rPr>
          <w:rFonts w:ascii="Arial" w:cs="Arial" w:eastAsia="Arial" w:hAnsi="Arial"/>
          <w:sz w:val="24"/>
          <w:szCs w:val="24"/>
        </w:rPr>
        <w:t xml:space="preserve">2) розничная продажа осуществляется только на АЗС, автомобильной газозаправочной станции и автомобильной газонаполнительной компрессорной станции при условии обеспечения их контрольно-кассовыми машинами с функцией печати на контрольно-кассовом чеке информации о реализуемом топливе (наименование, код ТН ВЭД ЕАЭС, количество, цена за 1 литр, итоговая сумма) и ее передачи в режиме реального времени в уполномоченный налоговый орган, оборудованием (колонками) и АСУ. Реализации на АЗС, автомобильной газозаправочной станции и автомобильной газонаполнительной компрессорной станции подлежат только нефтепродукты, указанные в строках 2, 4, 6, 7 и 8 таблицы настоящего Положения, а также другие подакцизные нефтепродукты, прошедшие идентификацию наименования и марки, в соответствии с требованиями действующих межгосударственных стандартов (ГОСТ) и технических регламентов ЕАЭС, а также имеющую маркировку топлива в отношении бензина и дизельного топлива.</w:t>
      </w:r>
    </w:p>
    <w:p>
      <w:pPr>
        <w:spacing w:after="60"/>
        <w:ind w:firstLine="567"/>
        <w:jc w:val="both"/>
      </w:pPr>
      <w:r>
        <w:rPr>
          <w:rFonts w:ascii="Arial" w:cs="Arial" w:eastAsia="Arial" w:hAnsi="Arial"/>
          <w:sz w:val="24"/>
          <w:szCs w:val="24"/>
        </w:rPr>
        <w:t xml:space="preserve">5. Для контроля ввоза/импорта сжиженного углеводородного газа на газохранилищах в обязательном порядке устанавливаются приборы учета поступающего газа, сертифицированные органами сертификации, с ежемесячным предоставлением показателей органам налоговой службы.</w:t>
      </w:r>
    </w:p>
    <w:p>
      <w:pPr>
        <w:spacing w:after="60"/>
        <w:ind w:firstLine="567"/>
        <w:jc w:val="both"/>
      </w:pPr>
      <w:r>
        <w:rPr>
          <w:rFonts w:ascii="Arial" w:cs="Arial" w:eastAsia="Arial" w:hAnsi="Arial"/>
          <w:sz w:val="24"/>
          <w:szCs w:val="24"/>
        </w:rPr>
        <w:t xml:space="preserve">6. Для контроля оборота нефтепродуктов на территории Кыргызской Республики при ввозе, отгрузке, перемещении и реализации нефти и нефтепродуктов в обязательном порядке применяются ЭТТН, а также проверяется наличие топливного маркера в отношении бензина и дизельного топлива.</w:t>
      </w:r>
    </w:p>
    <w:p>
      <w:pPr>
        <w:spacing w:after="60"/>
        <w:ind w:firstLine="567"/>
        <w:jc w:val="both"/>
      </w:pPr>
      <w:r>
        <w:rPr>
          <w:rFonts w:ascii="Arial" w:cs="Arial" w:eastAsia="Arial" w:hAnsi="Arial"/>
          <w:sz w:val="24"/>
          <w:szCs w:val="24"/>
        </w:rPr>
        <w:t xml:space="preserve">7. Отпуск нефти и нефтепродуктов в цистернах с нефтяных скважин, нефтеперерабатывающих заводов, нефтебаз, нефтехранилищ, железнодорожных сливных тупиков и прием-отпуск на нефтеперерабатывающие заводы, нефтехранилища, нефтебазы, АЗС и автомобильные газозаправочные станции должен сопровождаться с обязательным заполнением ЭТТН, а также наличием топливного маркера в отношении бензина и дизельного топлива.</w:t>
      </w:r>
    </w:p>
    <w:p>
      <w:pPr>
        <w:spacing w:after="60"/>
        <w:ind w:firstLine="567"/>
        <w:jc w:val="both"/>
      </w:pPr>
      <w:r>
        <w:rPr>
          <w:rFonts w:ascii="Arial" w:cs="Arial" w:eastAsia="Arial" w:hAnsi="Arial"/>
          <w:sz w:val="24"/>
          <w:szCs w:val="24"/>
        </w:rPr>
        <w:t xml:space="preserve">В случае несоблюдения условий хранения, перевозки и реализации нефтепродуктов, а также требований маркировки топлива к субъектам предпринимательства применяются меры ответственности в соответствии с законодательством Кыргызской Республики о правонарушениях.</w:t>
      </w:r>
    </w:p>
    <w:p>
      <w:pPr>
        <w:spacing w:after="200" w:before="200"/>
        <w:jc w:val="center"/>
      </w:pPr>
      <w:r>
        <w:rPr>
          <w:rFonts w:ascii="Arial" w:cs="Arial" w:eastAsia="Arial" w:hAnsi="Arial"/>
          <w:b/>
          <w:bCs/>
          <w:sz w:val="32"/>
          <w:szCs w:val="32"/>
        </w:rPr>
        <w:t xml:space="preserve">Глава 2. Условия оснащения и ввода в эксплуатацию АСУ</w:t>
      </w:r>
    </w:p>
    <w:p>
      <w:pPr>
        <w:spacing w:after="60"/>
        <w:ind w:firstLine="567"/>
        <w:jc w:val="both"/>
      </w:pPr>
      <w:r>
        <w:rPr>
          <w:rFonts w:ascii="Arial" w:cs="Arial" w:eastAsia="Arial" w:hAnsi="Arial"/>
          <w:sz w:val="24"/>
          <w:szCs w:val="24"/>
        </w:rPr>
        <w:t xml:space="preserve">8. Субъект предпринимательства, осуществляющий ввоз, хранение, производство и реализацию нефтепродуктов (далее - субъект предпринимательства), обязан внедрить АСУ.</w:t>
      </w:r>
    </w:p>
    <w:p>
      <w:pPr>
        <w:spacing w:after="60"/>
        <w:ind w:firstLine="567"/>
        <w:jc w:val="both"/>
      </w:pPr>
      <w:r>
        <w:rPr>
          <w:rFonts w:ascii="Arial" w:cs="Arial" w:eastAsia="Arial" w:hAnsi="Arial"/>
          <w:sz w:val="24"/>
          <w:szCs w:val="24"/>
        </w:rPr>
        <w:t xml:space="preserve">9. АСУ и оборудование по фиксации информации об отпуске продукции, соответствующие техническим требованиям, закупаются и устанавливаются субъектом предпринимательства самостоятельно.</w:t>
      </w:r>
    </w:p>
    <w:p>
      <w:pPr>
        <w:spacing w:after="60"/>
        <w:ind w:firstLine="567"/>
        <w:jc w:val="both"/>
      </w:pPr>
      <w:r>
        <w:rPr>
          <w:rFonts w:ascii="Arial" w:cs="Arial" w:eastAsia="Arial" w:hAnsi="Arial"/>
          <w:sz w:val="24"/>
          <w:szCs w:val="24"/>
        </w:rPr>
        <w:t xml:space="preserve">10. Оснащение АСУ оборудованием по фиксации информации об отпуске продукции и их обслуживание осуществляются субъектом предпринимательства.</w:t>
      </w:r>
    </w:p>
    <w:p>
      <w:pPr>
        <w:spacing w:after="60"/>
        <w:ind w:firstLine="567"/>
        <w:jc w:val="both"/>
      </w:pPr>
      <w:r>
        <w:rPr>
          <w:rFonts w:ascii="Arial" w:cs="Arial" w:eastAsia="Arial" w:hAnsi="Arial"/>
          <w:sz w:val="24"/>
          <w:szCs w:val="24"/>
        </w:rPr>
        <w:t xml:space="preserve">11. Субъект предпринимательства проводит процедуру сертификации АСУ в добровольном порядке.</w:t>
      </w:r>
    </w:p>
    <w:p>
      <w:pPr>
        <w:spacing w:after="60"/>
        <w:ind w:firstLine="567"/>
        <w:jc w:val="both"/>
      </w:pPr>
      <w:r>
        <w:rPr>
          <w:rFonts w:ascii="Arial" w:cs="Arial" w:eastAsia="Arial" w:hAnsi="Arial"/>
          <w:sz w:val="24"/>
          <w:szCs w:val="24"/>
        </w:rPr>
        <w:t xml:space="preserve">12. Уполномоченный налоговый орган образовывает территориальные межведомственные комиссии в составе уполномоченного государственного органа по связи, уполномоченного государственного органа по стандартизации и метрологии и уполномоченного государственного органа, осуществляющего государственный надзор и контроль по вопросам экологической и технической безопасности, для проведения функциональной сверки установленной субъектом предпринимательства АСУ на соответствие требованиям к взаимодействию АСУ и контрольно-кассовой машины.</w:t>
      </w:r>
    </w:p>
    <w:p>
      <w:pPr>
        <w:spacing w:after="60"/>
        <w:ind w:firstLine="567"/>
        <w:jc w:val="both"/>
      </w:pPr>
      <w:r>
        <w:rPr>
          <w:rFonts w:ascii="Arial" w:cs="Arial" w:eastAsia="Arial" w:hAnsi="Arial"/>
          <w:sz w:val="24"/>
          <w:szCs w:val="24"/>
        </w:rPr>
        <w:t xml:space="preserve">13. В случае необеспечения исполнения пункта 8 настоящего Положения или функционального несоответствия требованиям взаимодействия АСУ и контрольно-кассовой машины субъекту предпринимательства запрещается производить розничную продажу нефтепродуктов с АЗС, автомобильной газозаправочной станции и автомобильной газонаполнительной компрессорной станции.</w:t>
      </w:r>
    </w:p>
    <w:p>
      <w:pPr>
        <w:spacing w:after="200" w:before="200"/>
        <w:jc w:val="center"/>
      </w:pPr>
      <w:r>
        <w:rPr>
          <w:rFonts w:ascii="Arial" w:cs="Arial" w:eastAsia="Arial" w:hAnsi="Arial"/>
          <w:b/>
          <w:bCs/>
          <w:sz w:val="32"/>
          <w:szCs w:val="32"/>
        </w:rPr>
        <w:t xml:space="preserve">Глава 3. Учет ввоза/импорта нефти и нефтепродуктов</w:t>
      </w:r>
    </w:p>
    <w:p>
      <w:pPr>
        <w:spacing w:after="60"/>
        <w:ind w:firstLine="567"/>
        <w:jc w:val="both"/>
      </w:pPr>
      <w:r>
        <w:rPr>
          <w:rFonts w:ascii="Arial" w:cs="Arial" w:eastAsia="Arial" w:hAnsi="Arial"/>
          <w:sz w:val="24"/>
          <w:szCs w:val="24"/>
        </w:rPr>
        <w:t xml:space="preserve">14. В целях контроля налогоплательщика, осуществляющего ввоз товаров на территорию Кыргызской Республики, оператор маркировки топлива совместно с сотрудником налогового органа производит инспекцию ввозимых/импортируемых нефтепродуктов на соответствие сопроводительным документам.</w:t>
      </w:r>
    </w:p>
    <w:p>
      <w:pPr>
        <w:spacing w:after="60"/>
        <w:ind w:firstLine="567"/>
        <w:jc w:val="both"/>
      </w:pPr>
      <w:r>
        <w:rPr>
          <w:rFonts w:ascii="Arial" w:cs="Arial" w:eastAsia="Arial" w:hAnsi="Arial"/>
          <w:sz w:val="24"/>
          <w:szCs w:val="24"/>
        </w:rPr>
        <w:t xml:space="preserve">15. Оператор маркировки топлива совместно с сотрудником налогового органа при ввозе налогоплательщиком нефти или нефтепродуктов на территорию Кыргызской Республики железнодорожным транспортом производят проверку наличия сопроводительной накладной, свидетельства на цистерну, выданного уполномоченным государственным органом в сфере стандартизации и метрологии, и фактического объема ввозимой нефти или нефтепродукта.</w:t>
      </w:r>
    </w:p>
    <w:p>
      <w:pPr>
        <w:spacing w:after="60"/>
        <w:ind w:firstLine="567"/>
        <w:jc w:val="both"/>
      </w:pPr>
      <w:r>
        <w:rPr>
          <w:rFonts w:ascii="Arial" w:cs="Arial" w:eastAsia="Arial" w:hAnsi="Arial"/>
          <w:sz w:val="24"/>
          <w:szCs w:val="24"/>
        </w:rPr>
        <w:t xml:space="preserve">16. Оператор маркировки топлива совместно с сотрудником налогового органа при ввозе субъектом нефти или нефтепродуктов на территорию Кыргызской Республики автотранспортным средством производят проверку наличия международной транспортной накладной (CMR), сопроводительной накладной, свидетельства на цистерну, выданного уполномоченным государственным органом в сфере стандартизации и метрологии, и фактического объема ввозимой нефти или нефтепродукта.</w:t>
      </w:r>
    </w:p>
    <w:p>
      <w:pPr>
        <w:spacing w:after="60"/>
        <w:ind w:firstLine="567"/>
        <w:jc w:val="both"/>
      </w:pPr>
      <w:r>
        <w:rPr>
          <w:rFonts w:ascii="Arial" w:cs="Arial" w:eastAsia="Arial" w:hAnsi="Arial"/>
          <w:sz w:val="24"/>
          <w:szCs w:val="24"/>
        </w:rPr>
        <w:t xml:space="preserve">17. В случае наличия и соответствия документов, указанных в пункте 16 настоящего Положения, оператор маркировки топлива маркирует бензин или дизель на основании решения уполномоченного налогового органа.</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0padiqcrtruas00ibjjv" Type="http://schemas.openxmlformats.org/officeDocument/2006/relationships/hyperlink" Target="http://kodeks.duckdns.org/document/230012708" TargetMode="External"/><Relationship Id="rIdswyefvtyanjesk2necibo" Type="http://schemas.openxmlformats.org/officeDocument/2006/relationships/hyperlink" Target="http://kodeks.duckdns.org/document/230037949" TargetMode="External"/><Relationship Id="rIdwfoyhj3tzy9dzuvd3t5jo" Type="http://schemas.openxmlformats.org/officeDocument/2006/relationships/hyperlink" Target="http://kodeks.duckdns.org/document/230030441" TargetMode="External"/><Relationship Id="rId7boz6agfn3tbg6p6d8_hi" Type="http://schemas.openxmlformats.org/officeDocument/2006/relationships/hyperlink" Target="http://kodeks.duckdns.org/document/112340#st_345" TargetMode="External"/><Relationship Id="rIdmn18cvk5h5t7dpfburduh" Type="http://schemas.openxmlformats.org/officeDocument/2006/relationships/hyperlink" Target="http://kodeks.duckdns.org/document/112301#st_13" TargetMode="External"/><Relationship Id="rIdapdul1yxjbizxnrvxapyw" Type="http://schemas.openxmlformats.org/officeDocument/2006/relationships/hyperlink" Target="http://kodeks.duckdns.org/document/112301#st_17" TargetMode="External"/><Relationship Id="rIdphbxns9lbl6g-x8vvrqx8" Type="http://schemas.openxmlformats.org/officeDocument/2006/relationships/hyperlink" Target="http://kodeks.duckdns.org/document/230011269" TargetMode="External"/><Relationship Id="rIdj0ujb-kamhn8o-jpp2qvy" Type="http://schemas.openxmlformats.org/officeDocument/2006/relationships/hyperlink" Target="http://kodeks.duckdns.org/document/230012708" TargetMode="External"/><Relationship Id="rIdz7oopxjaohfkckym707rt" Type="http://schemas.openxmlformats.org/officeDocument/2006/relationships/hyperlink" Target="http://kodeks.duckdns.org/document/230037949" TargetMode="External"/><Relationship Id="rIdopptgagmhrt16-xzasqpm" Type="http://schemas.openxmlformats.org/officeDocument/2006/relationships/hyperlink" Target="http://kodeks.duckdns.org/document/230030441" TargetMode="External"/><Relationship Id="rIdocsowjvfyetkr_ditaltd" Type="http://schemas.openxmlformats.org/officeDocument/2006/relationships/hyperlink" Target="http://kodeks.duckdns.org/document/159151" TargetMode="External"/><Relationship Id="rIdhr7udix2szydyinhbl71y" Type="http://schemas.openxmlformats.org/officeDocument/2006/relationships/hyperlink" Target="http://kodeks.duckdns.org/document/159151" TargetMode="External"/><Relationship Id="rId5_hpmx-ggitarnq1gaudk" Type="http://schemas.openxmlformats.org/officeDocument/2006/relationships/hyperlink" Target="http://kodeks.duckdns.org/document/230011268#pr2"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2026-09-23T10:27:16.592Z</dcterms:created>
  <dcterms:modified xsi:type="dcterms:W3CDTF">2026-09-23T10:27:16.592Z</dcterms:modified>
</cp:coreProperties>
</file>

<file path=docProps/custom.xml><?xml version="1.0" encoding="utf-8"?>
<Properties xmlns="http://schemas.openxmlformats.org/officeDocument/2006/custom-properties" xmlns:vt="http://schemas.openxmlformats.org/officeDocument/2006/docPropsVTypes"/>
</file>