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o2k2anmkibrwkmkrj_h_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июля 2025 года № 443</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от 1 июля 2024 года № 344</w:t>
      </w:r>
    </w:p>
    <w:p>
      <w:pPr>
        <w:spacing w:after="400" w:before="400"/>
        <w:jc w:val="center"/>
      </w:pPr>
      <w:r>
        <w:rPr>
          <w:rFonts w:ascii="Arial" w:cs="Arial" w:eastAsia="Arial" w:hAnsi="Arial"/>
          <w:b/>
          <w:bCs/>
          <w:sz w:val="28"/>
          <w:szCs w:val="28"/>
        </w:rPr>
        <w:t xml:space="preserve">О прогнозе социально-экономического развития Кыргызской Республики на 2025-2029 годы</w:t>
      </w:r>
    </w:p>
    <w:p>
      <w:pPr>
        <w:spacing w:after="60"/>
        <w:ind w:firstLine="567"/>
        <w:jc w:val="both"/>
      </w:pPr>
      <w:r>
        <w:rPr>
          <w:rFonts w:ascii="Arial" w:cs="Arial" w:eastAsia="Arial" w:hAnsi="Arial"/>
          <w:sz w:val="24"/>
          <w:szCs w:val="24"/>
        </w:rPr>
        <w:t xml:space="preserve">В целях определения макроэкономических параметров развития Кыргызской Республики на среднесрочный период, в соответствии со </w:t>
      </w:r>
      <w:hyperlink w:history="1" r:id="rId-lzsixgtnua_rsma6_xxf">
        <w:r>
          <w:rPr>
            <w:rFonts w:ascii="Arial" w:cs="Arial" w:eastAsia="Arial" w:hAnsi="Arial"/>
            <w:color w:val="1D4ED8"/>
            <w:sz w:val="24"/>
            <w:szCs w:val="24"/>
            <w:u w:val="single"/>
          </w:rPr>
          <w:t xml:space="preserve">статьей 74</w:t>
        </w:r>
      </w:hyperlink>
      <w:r>
        <w:rPr>
          <w:rFonts w:ascii="Arial" w:cs="Arial" w:eastAsia="Arial" w:hAnsi="Arial"/>
          <w:sz w:val="24"/>
          <w:szCs w:val="24"/>
        </w:rPr>
        <w:t xml:space="preserve"> Бюджетного кодекса Кыргызской Республики, статьями </w:t>
      </w:r>
      <w:hyperlink w:history="1" r:id="rIdrn0i5grmiqak5bztpybrm">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tskbrd0nmaielgaxk8dro">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Утвердить Прогноз социально-экономического развития Кыргызской Республики на 2025-2029 годы согласно </w:t>
      </w:r>
      <w:r>
        <w:rPr>
          <w:rFonts w:ascii="Arial" w:cs="Arial" w:eastAsia="Arial" w:hAnsi="Arial"/>
          <w:sz w:val="24"/>
          <w:szCs w:val="24"/>
        </w:rPr>
        <w:t xml:space="preserve">приложению</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Министерству финансов Кыргызской Республики при формировании Основных направлений фискальной политики Кыргызской Республики на 2025-2029 годы принять за основу утвержденные макроэкономические параметры развития Кыргызской Республики на 2025-2029 годы.</w:t>
      </w:r>
    </w:p>
    <w:p>
      <w:pPr>
        <w:spacing w:after="60"/>
        <w:ind w:firstLine="567"/>
        <w:jc w:val="both"/>
      </w:pPr>
      <w:r>
        <w:rPr>
          <w:rFonts w:ascii="Arial" w:cs="Arial" w:eastAsia="Arial" w:hAnsi="Arial"/>
          <w:sz w:val="24"/>
          <w:szCs w:val="24"/>
        </w:rPr>
        <w:t xml:space="preserve">3. Государственным органам исполнительной власти, полномочным представителям Президента Кыргызской Республики в областях, мэриям городов Бишкек и Ош, Национальному агентству по инвестициям при Президенте Кыргызской Республики, Национальному банку Кыргызской Республики (по согласованию):</w:t>
      </w:r>
    </w:p>
    <w:p>
      <w:pPr>
        <w:spacing w:after="60"/>
        <w:ind w:firstLine="567"/>
        <w:jc w:val="both"/>
      </w:pPr>
      <w:r>
        <w:rPr>
          <w:rFonts w:ascii="Arial" w:cs="Arial" w:eastAsia="Arial" w:hAnsi="Arial"/>
          <w:sz w:val="24"/>
          <w:szCs w:val="24"/>
        </w:rPr>
        <w:t xml:space="preserve">1) принять исчерпывающие меры по изысканию дополнительных резервов производства и ресурсов по курируемым направлениям для обеспечения целевых показателей темпов экономического роста;</w:t>
      </w:r>
    </w:p>
    <w:p>
      <w:pPr>
        <w:spacing w:after="60"/>
        <w:ind w:firstLine="567"/>
        <w:jc w:val="both"/>
      </w:pPr>
      <w:r>
        <w:rPr>
          <w:rFonts w:ascii="Arial" w:cs="Arial" w:eastAsia="Arial" w:hAnsi="Arial"/>
          <w:sz w:val="24"/>
          <w:szCs w:val="24"/>
        </w:rPr>
        <w:t xml:space="preserve">2) осуществлять мониторинг выполнения целевых показателей социально-экономического развития Кыргызской Республики и ежемесячно, не позднее 15 числа месяца, следующего за отчетным периодом, предоставлять в Министерство экономики и коммерции Кыргызской Республики информацию о ходе выполнения целевых показателей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4. Министерству экономики и коммерции Кыргызской Республики:</w:t>
      </w:r>
    </w:p>
    <w:p>
      <w:pPr>
        <w:spacing w:after="60"/>
        <w:ind w:firstLine="567"/>
        <w:jc w:val="both"/>
      </w:pPr>
      <w:r>
        <w:rPr>
          <w:rFonts w:ascii="Arial" w:cs="Arial" w:eastAsia="Arial" w:hAnsi="Arial"/>
          <w:sz w:val="24"/>
          <w:szCs w:val="24"/>
        </w:rPr>
        <w:t xml:space="preserve">1) ежеквартально обобщать результаты мониторинга выполнения целевых показателей социально-экономического развития Кыргызской Республики и предоставлять в Администрацию Президента Кыргызской Республики информацию о выполнении целевых показателей социально-экономического развития Кыргызской Республики за отчетный период не позднее 30 числа месяца, следующего за отчетным периодом;</w:t>
      </w:r>
    </w:p>
    <w:p>
      <w:pPr>
        <w:spacing w:after="60"/>
        <w:ind w:firstLine="567"/>
        <w:jc w:val="both"/>
      </w:pPr>
      <w:r>
        <w:rPr>
          <w:rFonts w:ascii="Arial" w:cs="Arial" w:eastAsia="Arial" w:hAnsi="Arial"/>
          <w:sz w:val="24"/>
          <w:szCs w:val="24"/>
        </w:rPr>
        <w:t xml:space="preserve">2) опубликовать Прогноз социально-экономического развития Кыргызской Республики на 2025-2029 годы на официальном веб-сайте Министерства экономики и коммерции Кыргызской Республики.</w:t>
      </w:r>
    </w:p>
    <w:p>
      <w:pPr>
        <w:spacing w:after="60"/>
        <w:ind w:firstLine="567"/>
        <w:jc w:val="both"/>
      </w:pPr>
      <w:r>
        <w:rPr>
          <w:rFonts w:ascii="Arial" w:cs="Arial" w:eastAsia="Arial" w:hAnsi="Arial"/>
          <w:sz w:val="24"/>
          <w:szCs w:val="24"/>
        </w:rPr>
        <w:t xml:space="preserve">5. Признать утратившим силу </w:t>
      </w:r>
      <w:r>
        <w:rPr>
          <w:rFonts w:ascii="Arial" w:cs="Arial" w:eastAsia="Arial" w:hAnsi="Arial"/>
          <w:sz w:val="24"/>
          <w:szCs w:val="24"/>
        </w:rPr>
        <w:t xml:space="preserve">постановление</w:t>
      </w:r>
      <w:r>
        <w:rPr>
          <w:rFonts w:ascii="Arial" w:cs="Arial" w:eastAsia="Arial" w:hAnsi="Arial"/>
          <w:sz w:val="24"/>
          <w:szCs w:val="24"/>
        </w:rPr>
        <w:t xml:space="preserve"> Кабинета Министров Кыргызской Республики "О Прогнозе социально-экономического развития Кыргызской Республики на 2024-2028 годы" от 8 сентября 2023 года № 454.</w:t>
      </w:r>
    </w:p>
    <w:p>
      <w:pPr>
        <w:spacing w:after="60"/>
        <w:ind w:firstLine="567"/>
        <w:jc w:val="both"/>
      </w:pPr>
      <w:r>
        <w:rPr>
          <w:rFonts w:ascii="Arial" w:cs="Arial" w:eastAsia="Arial" w:hAnsi="Arial"/>
          <w:sz w:val="24"/>
          <w:szCs w:val="24"/>
        </w:rPr>
        <w:t xml:space="preserve">6.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7.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5 июля 2024 года № 50 (3603)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ПРОГНОЗ
 социально-экономического развития Кыргызской Республики на 2025-2029 гг.</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Основной целью Прогноза социально-экономического развития Кыргызской Республики на 2025-2029 гг. является определение количественных ориентиров и параметров макроэкономического развития на среднесрочный период путем анализа социально-экономических процессов и тенденций, выявления имеющихся ресурсов и возможных факторов риска развития экономики страны.</w:t>
      </w:r>
    </w:p>
    <w:p>
      <w:pPr>
        <w:spacing w:after="60"/>
        <w:ind w:firstLine="567"/>
        <w:jc w:val="both"/>
      </w:pPr>
      <w:r>
        <w:rPr>
          <w:rFonts w:ascii="Arial" w:cs="Arial" w:eastAsia="Arial" w:hAnsi="Arial"/>
          <w:sz w:val="24"/>
          <w:szCs w:val="24"/>
        </w:rPr>
        <w:t xml:space="preserve">В Прогнозе определены основные направления развития ключевых отраслей экономики на 2024 г. и перспективы развития экономики страны на 2025-2029 гг., построенные на базе официальных прогнозов отраслевых министерств, ведомств и регионов.</w:t>
      </w:r>
    </w:p>
    <w:p>
      <w:pPr>
        <w:spacing w:after="60"/>
        <w:ind w:firstLine="567"/>
        <w:jc w:val="both"/>
      </w:pPr>
      <w:r>
        <w:rPr>
          <w:rFonts w:ascii="Arial" w:cs="Arial" w:eastAsia="Arial" w:hAnsi="Arial"/>
          <w:sz w:val="24"/>
          <w:szCs w:val="24"/>
        </w:rPr>
        <w:t xml:space="preserve">Прогноз является основой для разработки основных направлений фискальной политики Кыргызской Республики на 2025-2029 гг. и проекта республиканского бюджета на очередной бюджетный год и последующий плановый период.</w:t>
      </w:r>
    </w:p>
    <w:p>
      <w:pPr>
        <w:spacing w:after="200" w:before="200"/>
        <w:jc w:val="center"/>
      </w:pPr>
      <w:r>
        <w:rPr>
          <w:rFonts w:ascii="Arial" w:cs="Arial" w:eastAsia="Arial" w:hAnsi="Arial"/>
          <w:b/>
          <w:bCs/>
          <w:sz w:val="24"/>
          <w:szCs w:val="24"/>
        </w:rPr>
        <w:t xml:space="preserve">2. Основные тенденции социально-экономического развития Кыргызской Республики в 2023 г. и январе-марте 2024 г.</w:t>
      </w:r>
    </w:p>
    <w:p>
      <w:pPr>
        <w:spacing w:after="60" w:before="200"/>
        <w:ind w:firstLine="567"/>
        <w:jc w:val="left"/>
      </w:pPr>
      <w:r>
        <w:rPr>
          <w:rFonts w:ascii="Arial" w:cs="Arial" w:eastAsia="Arial" w:hAnsi="Arial"/>
          <w:b/>
          <w:bCs/>
          <w:sz w:val="24"/>
          <w:szCs w:val="24"/>
        </w:rPr>
        <w:t xml:space="preserve">2.1. Краткие итоги 2023 г.</w:t>
      </w:r>
    </w:p>
    <w:p>
      <w:pPr>
        <w:spacing w:after="60"/>
        <w:ind w:firstLine="567"/>
        <w:jc w:val="both"/>
      </w:pPr>
      <w:r>
        <w:rPr>
          <w:rFonts w:ascii="Arial" w:cs="Arial" w:eastAsia="Arial" w:hAnsi="Arial"/>
          <w:sz w:val="24"/>
          <w:szCs w:val="24"/>
        </w:rPr>
        <w:t xml:space="preserve">Итоги социально-экономического развития Кыргызской Республики за 2023 г. в условиях глобальной неопределенности показали высокие результаты. Экономический рост за последние три года в среднем на 6,9% (2021 г. - 105,5%, 2022 г. - 109,0%, 2023 г. - 106,2%) свидетельствует об устойчивости экономики и ее постепенной адаптации к постковидной и нынешней сложившейся геополитической ситуации, который обусловлен успешной реализацией комплекса мер по стимулированию секторов экономики, эффективным управлением ресурсами и фискальными реформами.</w:t>
      </w:r>
    </w:p>
    <w:p>
      <w:pPr>
        <w:spacing w:after="60"/>
        <w:ind w:firstLine="567"/>
        <w:jc w:val="both"/>
      </w:pPr>
      <w:r>
        <w:rPr>
          <w:rFonts w:ascii="Arial" w:cs="Arial" w:eastAsia="Arial" w:hAnsi="Arial"/>
          <w:sz w:val="24"/>
          <w:szCs w:val="24"/>
        </w:rPr>
        <w:t xml:space="preserve">Основным результатом социально-экономического развития Кыргызской Республики за 2023 г. является обеспечение макроэкономической стабильности и своевременное выполнение всех запланированных обязательств государства в области социальной защиты и пенсионного обеспечения.</w:t>
      </w:r>
    </w:p>
    <w:p>
      <w:pPr>
        <w:spacing w:after="60"/>
        <w:ind w:firstLine="567"/>
        <w:jc w:val="both"/>
      </w:pPr>
      <w:r>
        <w:rPr>
          <w:rFonts w:ascii="Arial" w:cs="Arial" w:eastAsia="Arial" w:hAnsi="Arial"/>
          <w:sz w:val="24"/>
          <w:szCs w:val="24"/>
        </w:rPr>
        <w:t xml:space="preserve">По предварительной оценке Национального статистического комитета Кыргызской Республики за 2023 г. объем валового внутреннего продукта (далее - ВВП) сложился в сумме 1228,9 млрд. сомов и реальный темп роста составил 106,2% (за 2022 г. - 109,0%). Дефлятор ВВП сложился на уровне 113,4%.</w:t>
      </w:r>
    </w:p>
    <w:p>
      <w:pPr>
        <w:spacing w:after="60"/>
        <w:ind w:firstLine="567"/>
        <w:jc w:val="both"/>
      </w:pPr>
      <w:r>
        <w:rPr>
          <w:rFonts w:ascii="Arial" w:cs="Arial" w:eastAsia="Arial" w:hAnsi="Arial"/>
          <w:sz w:val="24"/>
          <w:szCs w:val="24"/>
        </w:rPr>
        <w:t xml:space="preserve">Экономический рост обеспечен всеми секторами экономики: в строительстве объемы производства возросли на 10,3%, сфере услуг - на 6,2%, промышленности - на 2,7%, сельском хозяйстве - на 0,6%.</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Структура и темпы роста по секторам, формирующим ВВП(1)</w:t>
      </w:r>
    </w:p>
    <w:p>
      <w:pPr>
        <w:spacing w:after="60"/>
        <w:jc w:val="center"/>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1"/>
        <w:gridCol w:w="1010"/>
        <w:gridCol w:w="1010"/>
        <w:gridCol w:w="1010"/>
        <w:gridCol w:w="1286"/>
        <w:gridCol w:w="1286"/>
        <w:gridCol w:w="1286"/>
        <w:gridCol w:w="1286"/>
      </w:tblGrid>
      <w:tr>
        <w:tc>
          <w:tcPr>
            <w:tcW w:type="dxa" w:w="200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03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 факт</w:t>
            </w:r>
          </w:p>
        </w:tc>
        <w:tc>
          <w:tcPr>
            <w:tcW w:type="dxa" w:w="514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январь-декабрь 2023 г. предв. факт</w:t>
            </w:r>
          </w:p>
        </w:tc>
      </w:tr>
      <w:tr>
        <w:tc>
          <w:tcPr>
            <w:vMerge w:val="continue"/>
            <w:tcBorders>
              <w:top w:val="single" w:color="CBBF9E" w:sz="4"/>
              <w:left w:val="single" w:color="CBBF9E" w:sz="4"/>
              <w:bottom w:val="single" w:color="CBBF9E" w:sz="4"/>
              <w:right w:val="single" w:color="CBBF9E" w:sz="4"/>
            </w:tcBorders>
          </w:tcP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00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1020744,6</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109,0</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1228898,8</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106,2</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w:t>
            </w:r>
          </w:p>
        </w:tc>
      </w:tr>
      <w:tr>
        <w:tc>
          <w:tcPr>
            <w:tcW w:type="dxa" w:w="20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174816,1</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196417,8</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20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112249,3</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118646,5</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20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72144,3</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81748,6</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r>
      <w:tr>
        <w:tc>
          <w:tcPr>
            <w:tcW w:type="dxa" w:w="20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520738,4</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624165,4</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20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140796,5</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207920,5</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bl>
    <w:p>
      <w:pPr>
        <w:spacing w:after="60" w:before="120"/>
        <w:ind w:firstLine="567"/>
        <w:jc w:val="both"/>
      </w:pPr>
      <w:r>
        <w:rPr>
          <w:rFonts w:ascii="Arial" w:cs="Arial" w:eastAsia="Arial" w:hAnsi="Arial"/>
          <w:sz w:val="24"/>
          <w:szCs w:val="24"/>
        </w:rPr>
        <w:t xml:space="preserve">Экономические итоги 2023 г. преимущественно противоречат ожидавшимся прогнозам. Прошедший 2023 г. не был спокойным для мировой экономики, но не оправдал прогнозов, которые были в большей степени пессимистичны. Рецессии в США, которую ожидали некоторые экономисты, удалось избежать несмотря на резкий рост процентных ставок. Глобальная инфляция существенно замедлилась в 2023 г., чем предполагалось; фондовые рынки выросли, а доходность облигаций снизилась - хотя предполагалось в основном ровно противоположное.</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Темпы реального прироста BBП мировой экономики и государств-членов ЕАЭС, в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6"/>
        <w:gridCol w:w="5337"/>
        <w:gridCol w:w="2192"/>
        <w:gridCol w:w="2192"/>
      </w:tblGrid>
      <w:tr>
        <w:tc>
          <w:tcPr>
            <w:tcW w:type="dxa" w:w="45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3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Страны</w:t>
            </w:r>
          </w:p>
        </w:tc>
        <w:tc>
          <w:tcPr>
            <w:tcW w:type="dxa" w:w="21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w:t>
            </w:r>
          </w:p>
        </w:tc>
        <w:tc>
          <w:tcPr>
            <w:tcW w:type="dxa" w:w="21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r>
    </w:tbl>
    <w:p>
      <w:pPr>
        <w:spacing w:after="60" w:before="120"/>
        <w:ind w:firstLine="567"/>
        <w:jc w:val="both"/>
      </w:pPr>
      <w:r>
        <w:rPr>
          <w:rFonts w:ascii="Arial" w:cs="Arial" w:eastAsia="Arial" w:hAnsi="Arial"/>
          <w:sz w:val="24"/>
          <w:szCs w:val="24"/>
        </w:rPr>
        <w:t xml:space="preserve">В течение 2023 г. в экономиках государств-членов ЕАЭС сохранялись положительные тенденции, сформировавшиеся во второй половине 2022 г. - начале 2023 г. Структурная адаптация к изменившимся геополитическим условиям, восстановление внутреннего спроса и инвестиционной активности в регионе способствовали подъему экономической активности и экономический рост в большинстве экономик государств-членов ЕАЭС сложился выше прогнозных значений, которые были сформированы в начале 2023 г. При этом в Армении на фоне высоких темпов роста, достигнутых в 2022 г., наблюдается замедление деловой активности.</w:t>
      </w:r>
    </w:p>
    <w:p>
      <w:pPr>
        <w:spacing w:after="60"/>
        <w:ind w:firstLine="567"/>
        <w:jc w:val="both"/>
      </w:pPr>
      <w:r>
        <w:rPr>
          <w:rFonts w:ascii="Arial" w:cs="Arial" w:eastAsia="Arial" w:hAnsi="Arial"/>
          <w:sz w:val="24"/>
          <w:szCs w:val="24"/>
        </w:rPr>
        <w:t xml:space="preserve">По итогам года уровень инфляции замедлилась практически во всех государствах-членов ЕАЭС. Снижению интенсивности инфляционных процессов способствовал ряд факторов: замедление роста мировых цен на продовольственном рынке (индекс цен ФАО снизился в 2023 г. на 13,7% по сравнению с 2022 г.) и стабилизация ситуации на товарных рынках.</w:t>
      </w:r>
    </w:p>
    <w:p>
      <w:pPr>
        <w:spacing w:after="60"/>
        <w:ind w:firstLine="567"/>
        <w:jc w:val="both"/>
      </w:pPr>
      <w:r>
        <w:rPr>
          <w:rFonts w:ascii="Arial" w:cs="Arial" w:eastAsia="Arial" w:hAnsi="Arial"/>
          <w:sz w:val="24"/>
          <w:szCs w:val="24"/>
        </w:rPr>
        <w:t xml:space="preserve">Общим для государств-членов является быстрый рост потребительского спроса вследствие увеличения реальной заработной платы, объема кредитования домашних хозяйств (наблюдается практически во всех государствах-членах) и фискальное стимулирование.</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Индекс потребительских цен в государствах-членах ЕАЭС в 2022-2023 гг.
 (в % к декабрю предыдущего года)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6"/>
        <w:gridCol w:w="5622"/>
        <w:gridCol w:w="2050"/>
        <w:gridCol w:w="2050"/>
      </w:tblGrid>
      <w:tr>
        <w:tc>
          <w:tcPr>
            <w:tcW w:type="dxa" w:w="45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6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Страны</w:t>
            </w:r>
          </w:p>
        </w:tc>
        <w:tc>
          <w:tcPr>
            <w:tcW w:type="dxa" w:w="20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w:t>
            </w:r>
          </w:p>
        </w:tc>
        <w:tc>
          <w:tcPr>
            <w:tcW w:type="dxa" w:w="20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20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2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2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2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112,8</w:t>
            </w:r>
          </w:p>
        </w:tc>
        <w:tc>
          <w:tcPr>
            <w:tcW w:type="dxa" w:w="2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2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w:t>
            </w:r>
          </w:p>
        </w:tc>
        <w:tc>
          <w:tcPr>
            <w:tcW w:type="dxa" w:w="2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w:t>
            </w:r>
          </w:p>
        </w:tc>
        <w:tc>
          <w:tcPr>
            <w:tcW w:type="dxa" w:w="2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114,7</w:t>
            </w:r>
          </w:p>
        </w:tc>
        <w:tc>
          <w:tcPr>
            <w:tcW w:type="dxa" w:w="2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2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2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bl>
    <w:p>
      <w:pPr>
        <w:spacing w:after="60" w:before="120"/>
        <w:ind w:firstLine="567"/>
        <w:jc w:val="both"/>
      </w:pPr>
      <w:r>
        <w:rPr>
          <w:rFonts w:ascii="Arial" w:cs="Arial" w:eastAsia="Arial" w:hAnsi="Arial"/>
          <w:sz w:val="24"/>
          <w:szCs w:val="24"/>
        </w:rPr>
        <w:t xml:space="preserve">В 2023 г. в Кыргызской Республике индекс потребительских цен, характеризующий уровень инфляции, составил 107,3% и замедлился вдвое (январь-декабрь 2023 г. к декабрю предыдущего года), тогда как аналогичный показатель в 2022 г. составлял 114,7%. Среднегодовое значение инфляции (январь-декабрь 2023 г. к январю-декабрю 2022 г.) составило 110,8% (за январь-декабрь 2022 г. к январю-декабрю 2021 г. составляло 113,9%).</w:t>
      </w:r>
    </w:p>
    <w:p>
      <w:pPr>
        <w:spacing w:after="60"/>
        <w:ind w:firstLine="567"/>
        <w:jc w:val="both"/>
      </w:pPr>
      <w:r>
        <w:rPr>
          <w:rFonts w:ascii="Arial" w:cs="Arial" w:eastAsia="Arial" w:hAnsi="Arial"/>
          <w:sz w:val="24"/>
          <w:szCs w:val="24"/>
        </w:rPr>
        <w:t xml:space="preserve">Доля объема доходов государственного бюджета за 2023 г. в объеме ВВП увеличилась до 31,9%, против 23,8% в 2020 г. Государственный бюджет в 2023 г. исполнен с профицитом в размере 1,0% к ВВП в сумме 12,7 млрд. сомов.</w:t>
      </w:r>
    </w:p>
    <w:p>
      <w:pPr>
        <w:spacing w:after="60"/>
        <w:ind w:firstLine="567"/>
        <w:jc w:val="both"/>
      </w:pPr>
      <w:r>
        <w:rPr>
          <w:rFonts w:ascii="Arial" w:cs="Arial" w:eastAsia="Arial" w:hAnsi="Arial"/>
          <w:sz w:val="24"/>
          <w:szCs w:val="24"/>
        </w:rPr>
        <w:t xml:space="preserve">Благодаря проводимым фискальным реформам удалось достичь значительного улучшения собираемости налогов в 2023 г. По предварительным данным за 2023 г. объем налоговых доходов составил 294,4 млрд. сомов, по сравнению с 2022 г. увеличился на 28,6%.</w:t>
      </w:r>
    </w:p>
    <w:p>
      <w:pPr>
        <w:spacing w:after="60"/>
        <w:ind w:firstLine="567"/>
        <w:jc w:val="both"/>
      </w:pPr>
      <w:r>
        <w:rPr>
          <w:rFonts w:ascii="Arial" w:cs="Arial" w:eastAsia="Arial" w:hAnsi="Arial"/>
          <w:sz w:val="24"/>
          <w:szCs w:val="24"/>
        </w:rPr>
        <w:t xml:space="preserve">По состоянию на 31 декабря 2023 г. уровень государственного долга к ВВП составил 45,5 .</w:t>
      </w:r>
    </w:p>
    <w:p>
      <w:pPr>
        <w:spacing w:after="60" w:before="200"/>
        <w:ind w:firstLine="567"/>
        <w:jc w:val="left"/>
      </w:pPr>
      <w:r>
        <w:rPr>
          <w:rFonts w:ascii="Arial" w:cs="Arial" w:eastAsia="Arial" w:hAnsi="Arial"/>
          <w:b/>
          <w:bCs/>
          <w:sz w:val="24"/>
          <w:szCs w:val="24"/>
        </w:rPr>
        <w:t xml:space="preserve">2.2. Текущая ситуация - итоги за январь-март 2024 г.</w:t>
      </w:r>
    </w:p>
    <w:p>
      <w:pPr>
        <w:spacing w:after="60"/>
        <w:ind w:firstLine="567"/>
        <w:jc w:val="both"/>
      </w:pPr>
      <w:r>
        <w:rPr>
          <w:rFonts w:ascii="Arial" w:cs="Arial" w:eastAsia="Arial" w:hAnsi="Arial"/>
          <w:sz w:val="24"/>
          <w:szCs w:val="24"/>
        </w:rPr>
        <w:t xml:space="preserve">С начала 2024 г. экономический рост в целом продолжает демонстрировать высокий уровень. По предварительной оценке Национального статистического комитета Кыргызской Республики за январь-март 2024 г. объем BBП сложился в сумме 248,8 млрд. сомов и реальный темп роста составил 108,8% (за январь-март 2023 г. - 102,8%).</w:t>
      </w:r>
    </w:p>
    <w:p>
      <w:pPr>
        <w:spacing w:after="60"/>
        <w:ind w:firstLine="567"/>
        <w:jc w:val="both"/>
      </w:pPr>
      <w:r>
        <w:rPr>
          <w:rFonts w:ascii="Arial" w:cs="Arial" w:eastAsia="Arial" w:hAnsi="Arial"/>
          <w:sz w:val="24"/>
          <w:szCs w:val="24"/>
        </w:rPr>
        <w:t xml:space="preserve">Фактически во всех секторах экономики наблюдается положительная динамика, и показатели сложились следующим образом: в строительстве объемы производства возросли в 1,5 раза, сфере услуг - на 8,0%, промышленности - на 4,7%, сельском хозяйстве - на 1,4%.</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4</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Структура и темпы роста по секторам, формирующим ВВП(2)</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24"/>
        <w:gridCol w:w="1099"/>
        <w:gridCol w:w="1099"/>
        <w:gridCol w:w="1099"/>
        <w:gridCol w:w="1265"/>
        <w:gridCol w:w="1265"/>
        <w:gridCol w:w="1265"/>
        <w:gridCol w:w="1265"/>
      </w:tblGrid>
      <w:tr>
        <w:tc>
          <w:tcPr>
            <w:tcW w:type="dxa" w:w="182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29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Январь-март 2023 г.</w:t>
            </w:r>
          </w:p>
        </w:tc>
        <w:tc>
          <w:tcPr>
            <w:tcW w:type="dxa" w:w="506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Январь-март 2024 г.</w:t>
            </w:r>
          </w:p>
        </w:tc>
      </w:tr>
      <w:tr>
        <w:tc>
          <w:tcPr>
            <w:vMerge w:val="continue"/>
            <w:tcBorders>
              <w:top w:val="single" w:color="CBBF9E" w:sz="4"/>
              <w:left w:val="single" w:color="CBBF9E" w:sz="4"/>
              <w:bottom w:val="single" w:color="CBBF9E" w:sz="4"/>
              <w:right w:val="single" w:color="CBBF9E" w:sz="4"/>
            </w:tcBorders>
          </w:tcP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 (млн. сомов)</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 (млн. сомов)</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18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210 822,5</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102,8</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248821,6</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108,8</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w:t>
            </w:r>
          </w:p>
        </w:tc>
      </w:tr>
      <w:tr>
        <w:tc>
          <w:tcPr>
            <w:tcW w:type="dxa" w:w="1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37590,6</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46152,6</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r>
        <w:tc>
          <w:tcPr>
            <w:tcW w:type="dxa" w:w="1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11082,7</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11824,0</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1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7011,0</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1191,2</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153,8</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1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114656,5</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126518,0</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18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40481,7</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53235,8</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2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bl>
    <w:p>
      <w:pPr>
        <w:spacing w:after="60" w:before="120"/>
        <w:ind w:firstLine="567"/>
        <w:jc w:val="both"/>
      </w:pPr>
      <w:r>
        <w:rPr>
          <w:rFonts w:ascii="Arial" w:cs="Arial" w:eastAsia="Arial" w:hAnsi="Arial"/>
          <w:sz w:val="24"/>
          <w:szCs w:val="24"/>
        </w:rPr>
        <w:t xml:space="preserve">Ключевым драйвером роста за I квартал 2024 г. стал сектор услуг и строительства.</w:t>
      </w:r>
    </w:p>
    <w:p>
      <w:pPr>
        <w:spacing w:after="60"/>
        <w:ind w:firstLine="567"/>
        <w:jc w:val="both"/>
      </w:pPr>
      <w:r>
        <w:rPr>
          <w:rFonts w:ascii="Arial" w:cs="Arial" w:eastAsia="Arial" w:hAnsi="Arial"/>
          <w:sz w:val="24"/>
          <w:szCs w:val="24"/>
        </w:rPr>
        <w:t xml:space="preserve">Сфера услуг по-прежнему занимает доминирующую долю в структуре ВВП, более 50%. Увеличился объем оборота оптовой и розничной торговли, ремонта автомобилей и мотоциклов по сравнению с январем-март 2023 г. на 25,2% (где, в основном, ростом объема розничной торговли на 12,5% и оптовой торговли - на 45,1%), транспортной деятельности и хранение грузов - на 5,7% и услуг связи - на 8,6%. Объем услуг, предоставленных гостиницами и ресторанами, по-прежнему показывает высокие показатели и увеличился на 16,5%.</w:t>
      </w:r>
    </w:p>
    <w:p>
      <w:pPr>
        <w:spacing w:after="60"/>
        <w:ind w:firstLine="567"/>
        <w:jc w:val="both"/>
      </w:pPr>
      <w:r>
        <w:rPr>
          <w:rFonts w:ascii="Arial" w:cs="Arial" w:eastAsia="Arial" w:hAnsi="Arial"/>
          <w:sz w:val="24"/>
          <w:szCs w:val="24"/>
        </w:rPr>
        <w:t xml:space="preserve">Сектор строительства является одним из значимых направлений, обеспечивающих рост национальной экономики за счет реализации крупных инвестиционных проектов. По предварительным данным за январь-март 2024 г. объем инвестиций в основной капитал за счет всех источников финансирования увеличился на 66,6% (за январь-март 2023 г. рост на 3,1%) и составил 27,7 млрд. сомов. Увеличение объемов инвестиций в основной капитал обеспечено за счет роста как внутренних источников финансирования (на 64,4%), так и внешних источников (на 83,9%). Исходя из объемов капитализации экономики, общий объем валовой продукции строительства составил 26,9 млрд. сомов и увеличился в 1,5 раза (за январь-март 2023 г. рост на 2,2%). Значительный рост объемов строительства обусловлен улучшением учета ранее построенных и введенных отдельных объектов жилищного строительства.</w:t>
      </w:r>
    </w:p>
    <w:p>
      <w:pPr>
        <w:spacing w:after="60"/>
        <w:ind w:firstLine="567"/>
        <w:jc w:val="both"/>
      </w:pPr>
      <w:r>
        <w:rPr>
          <w:rFonts w:ascii="Arial" w:cs="Arial" w:eastAsia="Arial" w:hAnsi="Arial"/>
          <w:sz w:val="24"/>
          <w:szCs w:val="24"/>
        </w:rPr>
        <w:t xml:space="preserve">Объем валового производства промышленной продукции за январь-март составил 114,5 млрд. сомов и увеличился на 4,5% (за январь-март 2023 г. рост на 9,4%).</w:t>
      </w:r>
    </w:p>
    <w:p>
      <w:pPr>
        <w:spacing w:after="60"/>
        <w:ind w:firstLine="567"/>
        <w:jc w:val="both"/>
      </w:pPr>
      <w:r>
        <w:rPr>
          <w:rFonts w:ascii="Arial" w:cs="Arial" w:eastAsia="Arial" w:hAnsi="Arial"/>
          <w:sz w:val="24"/>
          <w:szCs w:val="24"/>
        </w:rPr>
        <w:t xml:space="preserve">За январь-март 2024 г. рост объемов валовой продукции сельского хозяйства составил 101,4%, который в основном обеспечен увеличением производства продукции животноводства на 1,4% за счет увеличения производства яиц на 10,0%, молока - на 1,9% и мяса - на 0,6%. Продолжается оказание государственной поддержки субъектам сельского хозяйства для развития животноводства, растениеводства, сектора переработки сельскохозяйственной продукции, ежегодно на эти цели направляются финансовые средства в размере 5-6 млрд. сомов. С начала 2024 г. в рамках реализации ФСХ-12 выделены 1454 получателям в сумме 656,8 млн. сомов льготных кредитов. Также для развития агропромышленных кластеров продолжается реализация проекта "Кредитование агропромышленного комплекса" с ежегодным выделением более 3 млрд. сомов.</w:t>
      </w:r>
    </w:p>
    <w:p>
      <w:pPr>
        <w:spacing w:after="60"/>
        <w:ind w:firstLine="567"/>
        <w:jc w:val="both"/>
      </w:pPr>
      <w:r>
        <w:rPr>
          <w:rFonts w:ascii="Arial" w:cs="Arial" w:eastAsia="Arial" w:hAnsi="Arial"/>
          <w:sz w:val="24"/>
          <w:szCs w:val="24"/>
        </w:rPr>
        <w:t xml:space="preserve">По итогам за январь-февраль 2024 г. наблюдается положительная динамика экономического роста во всех государствах-членах ЕАЭС. Наиболее высокие темпы роста экономики отмечены в Армении (на 13,6%) и Кыргызской Республике (на 8,6%).</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5</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Темпы реального прироста ВВП в государствах-членах ЕАЭС, в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0"/>
        <w:gridCol w:w="3819"/>
        <w:gridCol w:w="3819"/>
      </w:tblGrid>
      <w:tr>
        <w:tc>
          <w:tcPr>
            <w:tcW w:type="dxa" w:w="25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Страны</w:t>
            </w:r>
          </w:p>
        </w:tc>
        <w:tc>
          <w:tcPr>
            <w:tcW w:type="dxa" w:w="38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январь-февраль 2023 г., предв. факт</w:t>
            </w:r>
          </w:p>
        </w:tc>
        <w:tc>
          <w:tcPr>
            <w:tcW w:type="dxa" w:w="38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январь-февраль 2024 г., предв. факт</w:t>
            </w:r>
          </w:p>
        </w:tc>
      </w:tr>
      <w:tr>
        <w:tc>
          <w:tcPr>
            <w:tcW w:type="dxa" w:w="25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38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38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13,6(1)</w:t>
            </w:r>
          </w:p>
        </w:tc>
      </w:tr>
      <w:tr>
        <w:tc>
          <w:tcPr>
            <w:tcW w:type="dxa" w:w="25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38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38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25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38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8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r>
      <w:tr>
        <w:tc>
          <w:tcPr>
            <w:tcW w:type="dxa" w:w="2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p>
        </w:tc>
        <w:tc>
          <w:tcPr>
            <w:tcW w:type="dxa" w:w="38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w:t>
            </w:r>
          </w:p>
        </w:tc>
        <w:tc>
          <w:tcPr>
            <w:tcW w:type="dxa" w:w="38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w:t>
            </w:r>
          </w:p>
        </w:tc>
      </w:tr>
      <w:tr>
        <w:tc>
          <w:tcPr>
            <w:tcW w:type="dxa" w:w="25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38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8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bl>
    <w:p>
      <w:pPr>
        <w:spacing w:after="60" w:before="120"/>
        <w:ind w:firstLine="567"/>
        <w:jc w:val="both"/>
      </w:pPr>
      <w:r>
        <w:rPr>
          <w:rFonts w:ascii="Arial" w:cs="Arial" w:eastAsia="Arial" w:hAnsi="Arial"/>
          <w:sz w:val="24"/>
          <w:szCs w:val="24"/>
        </w:rPr>
        <w:t xml:space="preserve">(1) - показатель экономической активности.</w:t>
      </w:r>
    </w:p>
    <w:p>
      <w:pPr>
        <w:spacing w:after="60"/>
        <w:ind w:firstLine="567"/>
        <w:jc w:val="both"/>
      </w:pPr>
      <w:r>
        <w:rPr>
          <w:rFonts w:ascii="Arial" w:cs="Arial" w:eastAsia="Arial" w:hAnsi="Arial"/>
          <w:sz w:val="24"/>
          <w:szCs w:val="24"/>
        </w:rPr>
        <w:t xml:space="preserve">Инфляция снизилась сильнее, чем ожидалось, благодаря понижению мировых цен на продовольствие и энергоресурсы и сохранению курса денежно-кредитной политики, направленного на сдерживание инфляционных процессов. Наблюдается, что снижение уровня инфляции приобретает устойчивый характер. Но присутствуют инфляционные риски, рост мировых котировок на растительные масла, молочные продукты и мясо привел к повышению базового индекса мировых цен на продовольственные товары - этот показатель в марте вырос на 1,1%. Однако в марте среднее значение индекса продовольственных цен Продовольственной и сельскохозяйственной организации (далее - ФАО), который позволяет ежемесячно отслеживать колебания мировых цен на продовольственные товары, составило 118,3 пункта, что на 7,7% ниже соответствующего показателя за тот же период 2023 г. В марте 2024 г. по сравнению с аналогичным периодом 2023 г. во всех странах ЕАЭС наблюдалось замедление инфляционных процессов.</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Таблица 6</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Индекс потребительских цен в государствах-членах ЕАЭС в марте 2023-2024 гг.
 (в % к декабрю предыдущего года)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6"/>
        <w:gridCol w:w="5970"/>
        <w:gridCol w:w="1875"/>
        <w:gridCol w:w="1877"/>
      </w:tblGrid>
      <w:tr>
        <w:tc>
          <w:tcPr>
            <w:tcW w:type="dxa" w:w="45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9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Страны</w:t>
            </w:r>
          </w:p>
        </w:tc>
        <w:tc>
          <w:tcPr>
            <w:tcW w:type="dxa" w:w="18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w:t>
            </w:r>
          </w:p>
        </w:tc>
        <w:tc>
          <w:tcPr>
            <w:tcW w:type="dxa" w:w="18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18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1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1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1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59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p>
        </w:tc>
        <w:tc>
          <w:tcPr>
            <w:tcW w:type="dxa" w:w="18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103,2</w:t>
            </w:r>
          </w:p>
        </w:tc>
        <w:tc>
          <w:tcPr>
            <w:tcW w:type="dxa" w:w="18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101,2</w:t>
            </w:r>
          </w:p>
        </w:tc>
      </w:tr>
      <w:tr>
        <w:tc>
          <w:tcPr>
            <w:tcW w:type="dxa" w:w="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1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bl>
    <w:p>
      <w:pPr>
        <w:spacing w:after="60" w:before="120"/>
        <w:ind w:firstLine="567"/>
        <w:jc w:val="both"/>
      </w:pPr>
      <w:r>
        <w:rPr>
          <w:rFonts w:ascii="Arial" w:cs="Arial" w:eastAsia="Arial" w:hAnsi="Arial"/>
          <w:sz w:val="24"/>
          <w:szCs w:val="24"/>
        </w:rPr>
        <w:t xml:space="preserve">Индекс потребительских цен в Кыргызской Республике составил 101,2% (март 2024 г. к декабрю предыдущего года). Среднегодовое значение инфляции составило 105,4% (за январь-март 2023 г. к январю-март 2022 г. составляло 114,7%).</w:t>
      </w:r>
    </w:p>
    <w:p>
      <w:pPr>
        <w:spacing w:after="60"/>
        <w:ind w:firstLine="567"/>
        <w:jc w:val="both"/>
      </w:pPr>
      <w:r>
        <w:rPr>
          <w:rFonts w:ascii="Arial" w:cs="Arial" w:eastAsia="Arial" w:hAnsi="Arial"/>
          <w:sz w:val="24"/>
          <w:szCs w:val="24"/>
        </w:rPr>
        <w:t xml:space="preserve">По предварительным данным за январь-март 2024 г. объем налоговых доходов составил 69,3 млрд. сомов, по сравнению с соответствующим периодом 2023 г. увеличился на 28,8%.</w:t>
      </w:r>
    </w:p>
    <w:p>
      <w:pPr>
        <w:spacing w:after="60"/>
        <w:ind w:firstLine="567"/>
        <w:jc w:val="both"/>
      </w:pPr>
      <w:r>
        <w:rPr>
          <w:rFonts w:ascii="Arial" w:cs="Arial" w:eastAsia="Arial" w:hAnsi="Arial"/>
          <w:sz w:val="24"/>
          <w:szCs w:val="24"/>
        </w:rPr>
        <w:t xml:space="preserve">Соотношение государственного долга к ВВП в первом квартале 2024 г. составило 44,5%.</w:t>
      </w:r>
    </w:p>
    <w:p>
      <w:pPr>
        <w:spacing w:after="200" w:before="200"/>
        <w:jc w:val="center"/>
      </w:pPr>
      <w:r>
        <w:rPr>
          <w:rFonts w:ascii="Arial" w:cs="Arial" w:eastAsia="Arial" w:hAnsi="Arial"/>
          <w:b/>
          <w:bCs/>
          <w:sz w:val="24"/>
          <w:szCs w:val="24"/>
        </w:rPr>
        <w:t xml:space="preserve">3. Условия и факторы/риски социально-экономического развития Кыргызской Республики на 2024-2029 гг.</w:t>
      </w:r>
    </w:p>
    <w:p>
      <w:pPr>
        <w:spacing w:after="60"/>
        <w:ind w:firstLine="567"/>
        <w:jc w:val="both"/>
      </w:pPr>
      <w:r>
        <w:rPr>
          <w:rFonts w:ascii="Arial" w:cs="Arial" w:eastAsia="Arial" w:hAnsi="Arial"/>
          <w:sz w:val="24"/>
          <w:szCs w:val="24"/>
        </w:rPr>
        <w:t xml:space="preserve">Текущую ситуацию характеризует следующие ключевые аспекты: перспективы замедления мирового экономического роста; проблемы, стоящие перед странами в связи с возможной реализацией отложенного эффекта от ужесточения денежно-кредитной политики западными центробанками в 2022-2023 гг., фрагментация мировой экономики.</w:t>
      </w:r>
    </w:p>
    <w:p>
      <w:pPr>
        <w:spacing w:after="60" w:before="200"/>
        <w:ind w:firstLine="567"/>
        <w:jc w:val="left"/>
      </w:pPr>
      <w:r>
        <w:rPr>
          <w:rFonts w:ascii="Arial" w:cs="Arial" w:eastAsia="Arial" w:hAnsi="Arial"/>
          <w:b/>
          <w:bCs/>
          <w:sz w:val="24"/>
          <w:szCs w:val="24"/>
        </w:rPr>
        <w:t xml:space="preserve">Внешние условия:</w:t>
      </w:r>
    </w:p>
    <w:p>
      <w:pPr>
        <w:spacing w:after="60"/>
        <w:ind w:firstLine="567"/>
        <w:jc w:val="both"/>
      </w:pPr>
      <w:r>
        <w:rPr>
          <w:rFonts w:ascii="Arial" w:cs="Arial" w:eastAsia="Arial" w:hAnsi="Arial"/>
          <w:sz w:val="24"/>
          <w:szCs w:val="24"/>
        </w:rPr>
        <w:t xml:space="preserve">1) сохранение геополитической напряженности и конфликтов:</w:t>
      </w:r>
    </w:p>
    <w:p>
      <w:pPr>
        <w:spacing w:after="60"/>
        <w:ind w:firstLine="567"/>
        <w:jc w:val="both"/>
      </w:pPr>
      <w:r>
        <w:rPr>
          <w:rFonts w:ascii="Arial" w:cs="Arial" w:eastAsia="Arial" w:hAnsi="Arial"/>
          <w:sz w:val="24"/>
          <w:szCs w:val="24"/>
        </w:rPr>
        <w:t xml:space="preserve">- более слабый темп роста мировой экономики, чем ожидалось из-за усиления напряженности;</w:t>
      </w:r>
    </w:p>
    <w:p>
      <w:pPr>
        <w:spacing w:after="60"/>
        <w:ind w:firstLine="567"/>
        <w:jc w:val="both"/>
      </w:pPr>
      <w:r>
        <w:rPr>
          <w:rFonts w:ascii="Arial" w:cs="Arial" w:eastAsia="Arial" w:hAnsi="Arial"/>
          <w:sz w:val="24"/>
          <w:szCs w:val="24"/>
        </w:rPr>
        <w:t xml:space="preserve">- деглобализация, растущий популизм, усиление протекционизма, необходимость увеличения расходов на оборону и "зеленый переход" будут удерживать долгосрочные ставки в мировой экономике значительно выше уровней 2012-2021 гг. все следующее десятилетие;</w:t>
      </w:r>
    </w:p>
    <w:p>
      <w:pPr>
        <w:spacing w:after="60"/>
        <w:ind w:firstLine="567"/>
        <w:jc w:val="both"/>
      </w:pPr>
      <w:r>
        <w:rPr>
          <w:rFonts w:ascii="Arial" w:cs="Arial" w:eastAsia="Arial" w:hAnsi="Arial"/>
          <w:sz w:val="24"/>
          <w:szCs w:val="24"/>
        </w:rPr>
        <w:t xml:space="preserve">- сильнейшая со времен холодной войны фрагментация мировой экономики. Ее цена не только рост инфляции, но и замедление глобального роста;</w:t>
      </w:r>
    </w:p>
    <w:p>
      <w:pPr>
        <w:spacing w:after="60"/>
        <w:ind w:firstLine="567"/>
        <w:jc w:val="both"/>
      </w:pPr>
      <w:r>
        <w:rPr>
          <w:rFonts w:ascii="Arial" w:cs="Arial" w:eastAsia="Arial" w:hAnsi="Arial"/>
          <w:sz w:val="24"/>
          <w:szCs w:val="24"/>
        </w:rPr>
        <w:t xml:space="preserve">- 2024 г. является годом "глобальных выборов" - президентские и парламентские выборы пройдут в 64 странах (в т.ч. в Российской Федерации) и затронут в общей сложности 4,2 млрд. человек, более половины населения мира. Столь плотный график выборов создаст дополнительную неопределенность. А их итоги повлияют не только на внутреннюю повестку стран, но и во многом на перспективы глобальной экономики;</w:t>
      </w:r>
    </w:p>
    <w:p>
      <w:pPr>
        <w:spacing w:after="60"/>
        <w:ind w:firstLine="567"/>
        <w:jc w:val="both"/>
      </w:pPr>
      <w:r>
        <w:rPr>
          <w:rFonts w:ascii="Arial" w:cs="Arial" w:eastAsia="Arial" w:hAnsi="Arial"/>
          <w:sz w:val="24"/>
          <w:szCs w:val="24"/>
        </w:rPr>
        <w:t xml:space="preserve">2) волатильность на финансовом и сырьевом рынках:</w:t>
      </w:r>
    </w:p>
    <w:p>
      <w:pPr>
        <w:spacing w:after="60"/>
        <w:ind w:firstLine="567"/>
        <w:jc w:val="both"/>
      </w:pPr>
      <w:r>
        <w:rPr>
          <w:rFonts w:ascii="Arial" w:cs="Arial" w:eastAsia="Arial" w:hAnsi="Arial"/>
          <w:sz w:val="24"/>
          <w:szCs w:val="24"/>
        </w:rPr>
        <w:t xml:space="preserve">- сохранение высоких реальных процентных ставок может привести к дальнейшему замедлению инвестиционной активности и экономического роста. Банки в ожиданиях скорого завершения цикла повышений ключевой ставки Федеральной резервной системы США (далее - ФРС), разворот в политике регулятора может ослабить обеспокоенность инвесторов по поводу стоимости депозитов и качества кредитов, одновременно побуждая потребителей и компании увеличивать свои заимствования. Но поскольку темпы и масштабы снижения ставок все еще неопределенны, а геополитическая напряженность растет, банки проявляют осторожность в своих прогнозах на 2024 г. Однако Европейский центральный банк и Банк Англии по-прежнему придерживаются стратегии сохранения высоких процентных ставок на более длительный срок;</w:t>
      </w:r>
    </w:p>
    <w:p>
      <w:pPr>
        <w:spacing w:after="60"/>
        <w:ind w:firstLine="567"/>
        <w:jc w:val="both"/>
      </w:pPr>
      <w:r>
        <w:rPr>
          <w:rFonts w:ascii="Arial" w:cs="Arial" w:eastAsia="Arial" w:hAnsi="Arial"/>
          <w:sz w:val="24"/>
          <w:szCs w:val="24"/>
        </w:rPr>
        <w:t xml:space="preserve">- возможный новый стагфляционный шок из-за скачка цен на энергоносители, если конфликт в секторе Газа перерастет в более широкую региональную войну с участием "Хезболлы" и Ирана, экономисты считают, что нынешний конфликт имеет лишь ограниченное влияние на мировую экономику, но опасаются более серьезных последствий в случае, если ситуация в Газе выйдет из-под контроля;</w:t>
      </w:r>
    </w:p>
    <w:p>
      <w:pPr>
        <w:spacing w:after="60"/>
        <w:ind w:firstLine="567"/>
        <w:jc w:val="both"/>
      </w:pPr>
      <w:r>
        <w:rPr>
          <w:rFonts w:ascii="Arial" w:cs="Arial" w:eastAsia="Arial" w:hAnsi="Arial"/>
          <w:sz w:val="24"/>
          <w:szCs w:val="24"/>
        </w:rPr>
        <w:t xml:space="preserve">- сдерживающими факторами, действующими на рост цены на нефть, может быть замедление роста мировой экономики из-за возможной рецессии в экономиках Европы, продолжения проблем в строительном секторе Китая, роста импортных пошлин на уголь. Уровень цен будет традиционно зависеть от баланса спроса и предложения на нефтяном рынке, на который в 2024 г. окажут влияние фундаментальные факторы, включая предстоящие президентские выборы в США и дальнейшие действия стран ОПНК+.</w:t>
      </w:r>
    </w:p>
    <w:p>
      <w:pPr>
        <w:spacing w:after="60"/>
        <w:ind w:firstLine="567"/>
        <w:jc w:val="both"/>
      </w:pPr>
      <w:r>
        <w:rPr>
          <w:rFonts w:ascii="Arial" w:cs="Arial" w:eastAsia="Arial" w:hAnsi="Arial"/>
          <w:sz w:val="24"/>
          <w:szCs w:val="24"/>
        </w:rPr>
        <w:t xml:space="preserve">В среднесрочном периоде отмечается сохранение следующих рисков, которые могут влиять на формирование ценообразования на нефтяном рынке: растущая геополитическая напряженность на Ближнем Востоке, на долю которого приходится треть мировой морской торговли нефтью; стремительный прогресс электромобилей, ускорение процесса внедрения "зеленых" технологий; ограниченное предложение нефти на мировых рынках в связи с экономическими ограничениями и ценовым потолком по российской нефти; ухудшение показателей мировой экономики, в частности Китая, что создаст существенный риск снижения спроса и, в конечном счете мировых цен на нефть; медленные темпы прироста добычи сланцевой нефти в США;</w:t>
      </w:r>
    </w:p>
    <w:p>
      <w:pPr>
        <w:spacing w:after="60"/>
        <w:ind w:firstLine="567"/>
        <w:jc w:val="both"/>
      </w:pPr>
      <w:r>
        <w:rPr>
          <w:rFonts w:ascii="Arial" w:cs="Arial" w:eastAsia="Arial" w:hAnsi="Arial"/>
          <w:sz w:val="24"/>
          <w:szCs w:val="24"/>
        </w:rPr>
        <w:t xml:space="preserve">- ожидается замедление роста мировых цен на продовольственные товары после трехлетнего рекордного роста, вызванного региональным конфликтом, неблагоприятными погодными условиями и повышением цен на энергоносители и производственные ресурсы.</w:t>
      </w:r>
    </w:p>
    <w:p>
      <w:pPr>
        <w:spacing w:after="60"/>
        <w:ind w:firstLine="567"/>
        <w:jc w:val="both"/>
      </w:pPr>
      <w:r>
        <w:rPr>
          <w:rFonts w:ascii="Arial" w:cs="Arial" w:eastAsia="Arial" w:hAnsi="Arial"/>
          <w:sz w:val="24"/>
          <w:szCs w:val="24"/>
        </w:rPr>
        <w:t xml:space="preserve">По прогнозу ФАО мировые кризисы могут привести к росту цен на продовольствие, в то же время темпы их повышения замедлятся относительно уровней 2023 г. Из-за блокировки движением хуситов Баб-эль-Мандебского пролива и Красного моря возник кризис, который отрицательно сказывается на мировой торговле продовольствием и приводит к росту цен. Стоимость перевозки грузов по этому маршруту выросла почти в четыре раза, а объем грузоперевозок уменьшился на 30%. Владельцы грузов вынуждены искать альтернативные пути, что увеличивает расходы и продовольственную инфляцию. По оценке аналитиков, текущие кризисы окажут неравномерное влияние на динамику цен. Проблемы с логистикой действительно могут поднять цены у получателей сельскохозяйственной продукции, однако в местах ее производства эти же проблемы будут снижать цены из-за сокращения спроса, поскольку учет мировых цен и их сводных индексов опирается на цены производителей, то их значительный рост под влиянием названных факторов не ожидается. Сейчас цены на основные виды сельскохозяйственной продукции возвращаются к своим нормальным значениям после пиков 2020-2022 гг., связанных с макроэкономической ситуацией в пандемийные годы. В большинстве развитых стран темпы повышения цен на продукты также замедляются. В частности, в США, согласно февральскому отчету Food Price Outlook by USDA's, в 2024 г. прогнозируется замедление темпа роста цен на продукты до 2,9% (в 2023 г. цены на продукты питания выросли на 5,8%).</w:t>
      </w:r>
    </w:p>
    <w:p>
      <w:pPr>
        <w:spacing w:after="60"/>
        <w:ind w:firstLine="567"/>
        <w:jc w:val="both"/>
      </w:pPr>
      <w:r>
        <w:rPr>
          <w:rFonts w:ascii="Arial" w:cs="Arial" w:eastAsia="Arial" w:hAnsi="Arial"/>
          <w:sz w:val="24"/>
          <w:szCs w:val="24"/>
        </w:rPr>
        <w:t xml:space="preserve">В период до 2030 г. общий объем потребления сельскохозяйственной продукции в мире будет расти темпами 1,2% в год. Картина использования сельскохозяйственной продукции в пищу, на корм скоту, для производства топлива и промышленного использования существенно не изменится, т.к. серьезных структурных изменений в потреблении не ожидается. Ожидается, что к 2024 г. потребители могут столкнуться с сокращением поставок из-за неблагоприятных погодных условий, экспортными ограничениями и ужесточением требований к биотопливу.</w:t>
      </w:r>
    </w:p>
    <w:p>
      <w:pPr>
        <w:spacing w:after="60"/>
        <w:ind w:firstLine="567"/>
        <w:jc w:val="both"/>
      </w:pPr>
      <w:r>
        <w:rPr>
          <w:rFonts w:ascii="Arial" w:cs="Arial" w:eastAsia="Arial" w:hAnsi="Arial"/>
          <w:sz w:val="24"/>
          <w:szCs w:val="24"/>
        </w:rPr>
        <w:t xml:space="preserve">На цены продовольствия будет влиять: процесс восстановления глобальных цепочек поставок; изменение климата (участились такие явления, как засуха, наводнения, сильная жара и лесные пожары); рост цен на энергоносители, приводящий к росту стоимости удобрений; политика протекционизма отдельных стран - многие страны прекращают поставки зерна и растительного масла (на сегодняшний день почти два десятка государств ввели такого рода экспортные ограничения);</w:t>
      </w:r>
    </w:p>
    <w:p>
      <w:pPr>
        <w:spacing w:after="60"/>
        <w:ind w:firstLine="567"/>
        <w:jc w:val="both"/>
      </w:pPr>
      <w:r>
        <w:rPr>
          <w:rFonts w:ascii="Arial" w:cs="Arial" w:eastAsia="Arial" w:hAnsi="Arial"/>
          <w:sz w:val="24"/>
          <w:szCs w:val="24"/>
        </w:rPr>
        <w:t xml:space="preserve">3) сохранение инфляционного давления:</w:t>
      </w:r>
    </w:p>
    <w:p>
      <w:pPr>
        <w:spacing w:after="60"/>
        <w:ind w:firstLine="567"/>
        <w:jc w:val="both"/>
      </w:pPr>
      <w:r>
        <w:rPr>
          <w:rFonts w:ascii="Arial" w:cs="Arial" w:eastAsia="Arial" w:hAnsi="Arial"/>
          <w:sz w:val="24"/>
          <w:szCs w:val="24"/>
        </w:rPr>
        <w:t xml:space="preserve">- сохраняется влияние ряда проинфляционных факторов. Общим для государств-членов ЕАЭС (кроме Республики Армения) является быстрый рост потребительского спроса вследствие увеличения реальной заработной платы, объема кредитования домашних хозяйств. По оценкам практически всех национальных (центральных) банков государств-членов ЕАЭС сохраняются повышенные инфляционные ожидания населения (согласно информации ЕЭК).</w:t>
      </w:r>
    </w:p>
    <w:p>
      <w:pPr>
        <w:spacing w:after="60"/>
        <w:ind w:firstLine="567"/>
        <w:jc w:val="both"/>
      </w:pPr>
      <w:r>
        <w:rPr>
          <w:rFonts w:ascii="Arial" w:cs="Arial" w:eastAsia="Arial" w:hAnsi="Arial"/>
          <w:sz w:val="24"/>
          <w:szCs w:val="24"/>
        </w:rPr>
        <w:t xml:space="preserve">Инфляция - ключевой фактор, влияющий на стоимость драгметалла в ближайшем будущем. Вероятно, статус золота как главного инструмента хеджирования против инфляции приведет к дальнейшему росту цен. Золото продолжает пользоваться спросом в качестве защитного инструмента на фоне напряженной геополитической ситуации в мире, и поддерживается активными покупками со стороны институциональных инвесторов и центральных банков. Учитывая экономические условия и политическую напряженность, большинство экспертов сходятся во мнении, что цены на золото вырастут в 2024 г, поскольку все больше и больше потребителей ищут безопасное место для хранения своих богатств. Многие аналитические агентства и экономические организации на 2024 г. прогнозный диапазон оставляют широким;</w:t>
      </w:r>
    </w:p>
    <w:p>
      <w:pPr>
        <w:spacing w:after="60"/>
        <w:ind w:firstLine="567"/>
        <w:jc w:val="both"/>
      </w:pPr>
      <w:r>
        <w:rPr>
          <w:rFonts w:ascii="Arial" w:cs="Arial" w:eastAsia="Arial" w:hAnsi="Arial"/>
          <w:sz w:val="24"/>
          <w:szCs w:val="24"/>
        </w:rPr>
        <w:t xml:space="preserve">4) риски замедления экономик стран - основных торговых партнеров:</w:t>
      </w:r>
    </w:p>
    <w:p>
      <w:pPr>
        <w:spacing w:after="60"/>
        <w:ind w:firstLine="567"/>
        <w:jc w:val="both"/>
      </w:pPr>
      <w:r>
        <w:rPr>
          <w:rFonts w:ascii="Arial" w:cs="Arial" w:eastAsia="Arial" w:hAnsi="Arial"/>
          <w:sz w:val="24"/>
          <w:szCs w:val="24"/>
        </w:rPr>
        <w:t xml:space="preserve">- экономика Китая уже растет существенно медленнее привычных высоких темпов и есть признаки проблем в секторе недвижимости и связанном с ним финансовом секторе, который может отразиться на всей мировой экономике;</w:t>
      </w:r>
    </w:p>
    <w:p>
      <w:pPr>
        <w:spacing w:after="60"/>
        <w:ind w:firstLine="567"/>
        <w:jc w:val="both"/>
      </w:pPr>
      <w:r>
        <w:rPr>
          <w:rFonts w:ascii="Arial" w:cs="Arial" w:eastAsia="Arial" w:hAnsi="Arial"/>
          <w:sz w:val="24"/>
          <w:szCs w:val="24"/>
        </w:rPr>
        <w:t xml:space="preserve">- прогнозируемый сдержанный рост в экономиках государств-членов ЕАЭС после фазы восстановительного роста, экономикам предстоит искать источники роста в условиях жесткой денежно-кредитной политики, дисбаланса спроса/предложения на рынках труда и сохраняющейся геополитической неопределенности;</w:t>
      </w:r>
    </w:p>
    <w:p>
      <w:pPr>
        <w:spacing w:after="60"/>
        <w:ind w:firstLine="567"/>
        <w:jc w:val="both"/>
      </w:pPr>
      <w:r>
        <w:rPr>
          <w:rFonts w:ascii="Arial" w:cs="Arial" w:eastAsia="Arial" w:hAnsi="Arial"/>
          <w:sz w:val="24"/>
          <w:szCs w:val="24"/>
        </w:rPr>
        <w:t xml:space="preserve">5) климатические катастрофы, которые могут влиять на экономическую активность, производительность, урожайность:</w:t>
      </w:r>
    </w:p>
    <w:p>
      <w:pPr>
        <w:spacing w:after="60"/>
        <w:ind w:firstLine="567"/>
        <w:jc w:val="both"/>
      </w:pPr>
      <w:r>
        <w:rPr>
          <w:rFonts w:ascii="Arial" w:cs="Arial" w:eastAsia="Arial" w:hAnsi="Arial"/>
          <w:sz w:val="24"/>
          <w:szCs w:val="24"/>
        </w:rPr>
        <w:t xml:space="preserve">- эксперты прогнозируют, что 2024 г. может стать самым жарким за всю историю наблюдений из-за Эль-Ниньо. На рекордную температуру будут влиять два фактора: глобальное потепление и явление Эль-Ниньо, колебание температуры поверхностного слоя воды в экваториальной части Тихого океана. Нагрев воды в Тихом океане влияет на повышение температуры поверхности Земли с задержкой, поэтому второй год под влиянием Эль-Ниньо зачастую теплее первого. Обычно Эль-Ниньо оказывает наибольшее влияние на глобальные температуры после своего пика (2023 г.), поэтому высока вероятность усиления жары в 2024 г. Вместе с этим потепление может быть вызвано и активностью Солнца. Предположительно на 2024 г. выпадет пик 11-летнего солнечного цикла, который также может влиять на погоду;</w:t>
      </w:r>
    </w:p>
    <w:p>
      <w:pPr>
        <w:spacing w:after="60"/>
        <w:ind w:firstLine="567"/>
        <w:jc w:val="both"/>
      </w:pPr>
      <w:r>
        <w:rPr>
          <w:rFonts w:ascii="Arial" w:cs="Arial" w:eastAsia="Arial" w:hAnsi="Arial"/>
          <w:sz w:val="24"/>
          <w:szCs w:val="24"/>
        </w:rPr>
        <w:t xml:space="preserve">- потепление океана, а также таяние ледников и ледяных щитов могут привести к более сильным штормам в Европе;</w:t>
      </w:r>
    </w:p>
    <w:p>
      <w:pPr>
        <w:spacing w:after="60"/>
        <w:ind w:firstLine="567"/>
        <w:jc w:val="both"/>
      </w:pPr>
      <w:r>
        <w:rPr>
          <w:rFonts w:ascii="Arial" w:cs="Arial" w:eastAsia="Arial" w:hAnsi="Arial"/>
          <w:sz w:val="24"/>
          <w:szCs w:val="24"/>
        </w:rPr>
        <w:t xml:space="preserve">- из-за воздействия Эль-Ниньо на Юго-Восточную Азию, особенно на территории вблизи океана, вместе с засухой могут прийти и лесные пожары.</w:t>
      </w:r>
    </w:p>
    <w:p>
      <w:pPr>
        <w:spacing w:after="60" w:before="200"/>
        <w:ind w:firstLine="567"/>
        <w:jc w:val="left"/>
      </w:pPr>
      <w:r>
        <w:rPr>
          <w:rFonts w:ascii="Arial" w:cs="Arial" w:eastAsia="Arial" w:hAnsi="Arial"/>
          <w:b/>
          <w:bCs/>
          <w:sz w:val="24"/>
          <w:szCs w:val="24"/>
        </w:rPr>
        <w:t xml:space="preserve">Внутренние условия:</w:t>
      </w:r>
    </w:p>
    <w:p>
      <w:pPr>
        <w:spacing w:after="60"/>
        <w:ind w:firstLine="567"/>
        <w:jc w:val="both"/>
      </w:pPr>
      <w:r>
        <w:rPr>
          <w:rFonts w:ascii="Arial" w:cs="Arial" w:eastAsia="Arial" w:hAnsi="Arial"/>
          <w:sz w:val="24"/>
          <w:szCs w:val="24"/>
        </w:rPr>
        <w:t xml:space="preserve">- социально- политическая стабильность в стране;</w:t>
      </w:r>
    </w:p>
    <w:p>
      <w:pPr>
        <w:spacing w:after="60"/>
        <w:ind w:firstLine="567"/>
        <w:jc w:val="both"/>
      </w:pPr>
      <w:r>
        <w:rPr>
          <w:rFonts w:ascii="Arial" w:cs="Arial" w:eastAsia="Arial" w:hAnsi="Arial"/>
          <w:sz w:val="24"/>
          <w:szCs w:val="24"/>
        </w:rPr>
        <w:t xml:space="preserve">- реализация крупных национальных инвестиционных проектов в энергетике, ирригации, дорожно-транспортной сфере;</w:t>
      </w:r>
    </w:p>
    <w:p>
      <w:pPr>
        <w:spacing w:after="60"/>
        <w:ind w:firstLine="567"/>
        <w:jc w:val="both"/>
      </w:pPr>
      <w:r>
        <w:rPr>
          <w:rFonts w:ascii="Arial" w:cs="Arial" w:eastAsia="Arial" w:hAnsi="Arial"/>
          <w:sz w:val="24"/>
          <w:szCs w:val="24"/>
        </w:rPr>
        <w:t xml:space="preserve">- развитие приоритетных секторов с высоким экспортным потенциалом;</w:t>
      </w:r>
    </w:p>
    <w:p>
      <w:pPr>
        <w:spacing w:after="60"/>
        <w:ind w:firstLine="567"/>
        <w:jc w:val="both"/>
      </w:pPr>
      <w:r>
        <w:rPr>
          <w:rFonts w:ascii="Arial" w:cs="Arial" w:eastAsia="Arial" w:hAnsi="Arial"/>
          <w:sz w:val="24"/>
          <w:szCs w:val="24"/>
        </w:rPr>
        <w:t xml:space="preserve">- создание доступа к финансовым инструментам;</w:t>
      </w:r>
    </w:p>
    <w:p>
      <w:pPr>
        <w:spacing w:after="60"/>
        <w:ind w:firstLine="567"/>
        <w:jc w:val="both"/>
      </w:pPr>
      <w:r>
        <w:rPr>
          <w:rFonts w:ascii="Arial" w:cs="Arial" w:eastAsia="Arial" w:hAnsi="Arial"/>
          <w:sz w:val="24"/>
          <w:szCs w:val="24"/>
        </w:rPr>
        <w:t xml:space="preserve">- создание благоприятной бизнес-среды для предпринимательства;</w:t>
      </w:r>
    </w:p>
    <w:p>
      <w:pPr>
        <w:spacing w:after="60"/>
        <w:ind w:firstLine="567"/>
        <w:jc w:val="both"/>
      </w:pPr>
      <w:r>
        <w:rPr>
          <w:rFonts w:ascii="Arial" w:cs="Arial" w:eastAsia="Arial" w:hAnsi="Arial"/>
          <w:sz w:val="24"/>
          <w:szCs w:val="24"/>
        </w:rPr>
        <w:t xml:space="preserve">- проводимая работа по полномасштабной цифровизации экономики, принимаемые меры по выводу бизнеса из тени и др.</w:t>
      </w:r>
    </w:p>
    <w:p>
      <w:pPr>
        <w:spacing w:after="60"/>
        <w:ind w:firstLine="567"/>
        <w:jc w:val="both"/>
      </w:pPr>
      <w:r>
        <w:rPr>
          <w:rFonts w:ascii="Arial" w:cs="Arial" w:eastAsia="Arial" w:hAnsi="Arial"/>
          <w:sz w:val="24"/>
          <w:szCs w:val="24"/>
        </w:rPr>
        <w:t xml:space="preserve">Возможные макроэкономические риски:</w:t>
      </w:r>
    </w:p>
    <w:p>
      <w:pPr>
        <w:spacing w:after="60"/>
        <w:ind w:firstLine="567"/>
        <w:jc w:val="both"/>
      </w:pPr>
      <w:r>
        <w:rPr>
          <w:rFonts w:ascii="Arial" w:cs="Arial" w:eastAsia="Arial" w:hAnsi="Arial"/>
          <w:sz w:val="24"/>
          <w:szCs w:val="24"/>
        </w:rPr>
        <w:t xml:space="preserve">- угроза попадания под вторичные санкции из-за сотрудничества с компаниями, подверженными санкциям;</w:t>
      </w:r>
    </w:p>
    <w:p>
      <w:pPr>
        <w:spacing w:after="60"/>
        <w:ind w:firstLine="567"/>
        <w:jc w:val="both"/>
      </w:pPr>
      <w:r>
        <w:rPr>
          <w:rFonts w:ascii="Arial" w:cs="Arial" w:eastAsia="Arial" w:hAnsi="Arial"/>
          <w:sz w:val="24"/>
          <w:szCs w:val="24"/>
        </w:rPr>
        <w:t xml:space="preserve">- сокращение потоков инвестиций из-за ослабления деловой уверенности;</w:t>
      </w:r>
    </w:p>
    <w:p>
      <w:pPr>
        <w:spacing w:after="60"/>
        <w:ind w:firstLine="567"/>
        <w:jc w:val="both"/>
      </w:pPr>
      <w:r>
        <w:rPr>
          <w:rFonts w:ascii="Arial" w:cs="Arial" w:eastAsia="Arial" w:hAnsi="Arial"/>
          <w:sz w:val="24"/>
          <w:szCs w:val="24"/>
        </w:rPr>
        <w:t xml:space="preserve">- сокращение денежных переводов из-за ухудшения экономической ситуации;</w:t>
      </w:r>
    </w:p>
    <w:p>
      <w:pPr>
        <w:spacing w:after="60"/>
        <w:ind w:firstLine="567"/>
        <w:jc w:val="both"/>
      </w:pPr>
      <w:r>
        <w:rPr>
          <w:rFonts w:ascii="Arial" w:cs="Arial" w:eastAsia="Arial" w:hAnsi="Arial"/>
          <w:sz w:val="24"/>
          <w:szCs w:val="24"/>
        </w:rPr>
        <w:t xml:space="preserve">- сокращение внешнего спроса и предложения, ухудшение условий торговли со странами - основными торговыми партнерами;</w:t>
      </w:r>
    </w:p>
    <w:p>
      <w:pPr>
        <w:spacing w:after="60"/>
        <w:ind w:firstLine="567"/>
        <w:jc w:val="both"/>
      </w:pPr>
      <w:r>
        <w:rPr>
          <w:rFonts w:ascii="Arial" w:cs="Arial" w:eastAsia="Arial" w:hAnsi="Arial"/>
          <w:sz w:val="24"/>
          <w:szCs w:val="24"/>
        </w:rPr>
        <w:t xml:space="preserve">- осложнение ситуации на мировых финансовых рынках может создать препятствия в поступлении внешних заимствований, либо привести к удорожанию стоимости привлекаемых ресурсов;</w:t>
      </w:r>
    </w:p>
    <w:p>
      <w:pPr>
        <w:spacing w:after="60"/>
        <w:ind w:firstLine="567"/>
        <w:jc w:val="both"/>
      </w:pPr>
      <w:r>
        <w:rPr>
          <w:rFonts w:ascii="Arial" w:cs="Arial" w:eastAsia="Arial" w:hAnsi="Arial"/>
          <w:sz w:val="24"/>
          <w:szCs w:val="24"/>
        </w:rPr>
        <w:t xml:space="preserve">- удорожание цен и рост уровня инфляции (поскольку большинство товаров, имеющихся в потребительской корзине, составляют импортные товары), что в свою очередь приведет к увеличению себестоимости затрат в секторах экономики;</w:t>
      </w:r>
    </w:p>
    <w:p>
      <w:pPr>
        <w:spacing w:after="60"/>
        <w:ind w:firstLine="567"/>
        <w:jc w:val="both"/>
      </w:pPr>
      <w:r>
        <w:rPr>
          <w:rFonts w:ascii="Arial" w:cs="Arial" w:eastAsia="Arial" w:hAnsi="Arial"/>
          <w:sz w:val="24"/>
          <w:szCs w:val="24"/>
        </w:rPr>
        <w:t xml:space="preserve">- рост объемов внешнего госдолга из-за замедления деловой активности и высокой волатильности на финансовом рынке.</w:t>
      </w:r>
    </w:p>
    <w:p>
      <w:pPr>
        <w:spacing w:after="60"/>
        <w:ind w:firstLine="567"/>
        <w:jc w:val="both"/>
      </w:pPr>
      <w:r>
        <w:rPr>
          <w:rFonts w:ascii="Arial" w:cs="Arial" w:eastAsia="Arial" w:hAnsi="Arial"/>
          <w:sz w:val="24"/>
          <w:szCs w:val="24"/>
        </w:rPr>
        <w:t xml:space="preserve">По прогнозам международных финансовых институтов, темп роста мировой экономики замедлится до 2,4% в 2024 г. по сравнению с 2,7% в 2023 г. Как отмечают эксперты, темпы роста глобальной экономики до сих пор ниже допандемийных показателей.</w:t>
      </w:r>
    </w:p>
    <w:p>
      <w:pPr>
        <w:spacing w:after="60"/>
        <w:ind w:firstLine="567"/>
        <w:jc w:val="both"/>
      </w:pPr>
      <w:r>
        <w:rPr>
          <w:rFonts w:ascii="Arial" w:cs="Arial" w:eastAsia="Arial" w:hAnsi="Arial"/>
          <w:sz w:val="24"/>
          <w:szCs w:val="24"/>
        </w:rPr>
        <w:t xml:space="preserve">Высокие процентные ставки, дальнейшая эскалация конфликтов, вялая международная торговля и учащающиеся климатические катастрофы создают серьезные препятствия для глобального роста.</w:t>
      </w:r>
    </w:p>
    <w:p>
      <w:pPr>
        <w:spacing w:after="60"/>
        <w:ind w:firstLine="567"/>
        <w:jc w:val="both"/>
      </w:pPr>
      <w:r>
        <w:rPr>
          <w:rFonts w:ascii="Arial" w:cs="Arial" w:eastAsia="Arial" w:hAnsi="Arial"/>
          <w:sz w:val="24"/>
          <w:szCs w:val="24"/>
        </w:rPr>
        <w:t xml:space="preserve">Международные институты дают разнонаправленную оценку экономическим перспективам.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7</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Сравнительный обзор прогнозов международных институтов</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(в процентах)</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21"/>
        <w:gridCol w:w="1964"/>
        <w:gridCol w:w="1964"/>
        <w:gridCol w:w="1964"/>
        <w:gridCol w:w="1964"/>
      </w:tblGrid>
      <w:tr>
        <w:tc>
          <w:tcPr>
            <w:tcW w:type="dxa" w:w="232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 прогноз</w:t>
            </w:r>
          </w:p>
        </w:tc>
        <w:tc>
          <w:tcPr>
            <w:tcW w:type="dxa" w:w="39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 прогноз</w:t>
            </w:r>
          </w:p>
        </w:tc>
      </w:tr>
      <w:tr>
        <w:tc>
          <w:tcPr>
            <w:vMerge w:val="continue"/>
            <w:tcBorders>
              <w:top w:val="single" w:color="CBBF9E" w:sz="4"/>
              <w:left w:val="single" w:color="CBBF9E" w:sz="4"/>
              <w:bottom w:val="single" w:color="CBBF9E" w:sz="4"/>
              <w:right w:val="single" w:color="CBBF9E" w:sz="4"/>
            </w:tcBorders>
          </w:tcP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 2023 г.</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Январь/Апрель 2024 г.</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 2023 г.</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Январь/Апрель 2024 г.</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ВБ:</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4,4/4,5</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4,3/4,3</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Армения</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4,7/5,5</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4,5/4,9</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Беларусь</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0,8/1,2</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0,8/0,7</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Казахстан</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4,3/3,4</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4,5/4,7</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4,0/4,5</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4,0/4,2</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1,3/2,2</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0,9/1,1</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МВФ:</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 2023 г.</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Январь/Апрель 2024 г.</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 2023 г.</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Январь/Апрель 2024 г.</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3,1/3,2</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3,2/3,2</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0,9/0,8</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1,7/1,5</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2,1/2,7</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1,7/1,9</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Армения</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Беларусь</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Казахстан</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3,1/3,1</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5,7/5,6</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w:t>
            </w:r>
          </w:p>
        </w:tc>
      </w:tr>
      <w:tr>
        <w:tc>
          <w:tcPr>
            <w:tcW w:type="dxa" w:w="2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2,6/3,2</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Эксперты Всемирного банка (далее - ВБ) рост глобального ВВП на 2024 г. прогнозируют па уровне 2,4%, а на 2025 г. снижен с 3,0% до 2,7%.</w:t>
      </w:r>
    </w:p>
    <w:p>
      <w:pPr>
        <w:spacing w:after="60"/>
        <w:ind w:firstLine="567"/>
        <w:jc w:val="both"/>
      </w:pPr>
      <w:r>
        <w:rPr>
          <w:rFonts w:ascii="Arial" w:cs="Arial" w:eastAsia="Arial" w:hAnsi="Arial"/>
          <w:sz w:val="24"/>
          <w:szCs w:val="24"/>
        </w:rPr>
        <w:t xml:space="preserve">Среднесрочный прогноз для многих стран с развивающейся экономикой ухудшился на фоне замедления темпов роста в большинстве крупных экономик, застоя в мировой торговле и сильнейшего за последние десятилетия ужесточения условий кредитования.</w:t>
      </w:r>
    </w:p>
    <w:p>
      <w:pPr>
        <w:spacing w:after="60"/>
        <w:ind w:firstLine="567"/>
        <w:jc w:val="both"/>
      </w:pPr>
      <w:r>
        <w:rPr>
          <w:rFonts w:ascii="Arial" w:cs="Arial" w:eastAsia="Arial" w:hAnsi="Arial"/>
          <w:sz w:val="24"/>
          <w:szCs w:val="24"/>
        </w:rPr>
        <w:t xml:space="preserve">Темпы экономического роста и развитых странах в целом, по прогнозу ВБ, составят 1,2% в 2024 г. и 1,6%, в 2025 г., в странах с развивающейся экономикой соответственно 3,9% и 4,0%.</w:t>
      </w:r>
    </w:p>
    <w:p>
      <w:pPr>
        <w:spacing w:after="60"/>
        <w:ind w:firstLine="567"/>
        <w:jc w:val="both"/>
      </w:pPr>
      <w:r>
        <w:rPr>
          <w:rFonts w:ascii="Arial" w:cs="Arial" w:eastAsia="Arial" w:hAnsi="Arial"/>
          <w:sz w:val="24"/>
          <w:szCs w:val="24"/>
        </w:rPr>
        <w:t xml:space="preserve">ВБ ухудшил прогноз по росту экономики еврозоны в 2024 г. до 0,7%, что на 0,6 процентного пункта ниже, чем в предыдущей оценке в июне 2023 г. В 2025 г. рост экономики региона ожидается на уровне 1,6% (прогноз снижен на 0,7 процентного пункта), при этом прогноз роста экономики США в 2024 г. повысил до 1,6% и понизил до 1,7% в 2025 г.</w:t>
      </w:r>
    </w:p>
    <w:p>
      <w:pPr>
        <w:spacing w:after="60"/>
        <w:ind w:firstLine="567"/>
        <w:jc w:val="both"/>
      </w:pPr>
      <w:r>
        <w:rPr>
          <w:rFonts w:ascii="Arial" w:cs="Arial" w:eastAsia="Arial" w:hAnsi="Arial"/>
          <w:sz w:val="24"/>
          <w:szCs w:val="24"/>
        </w:rPr>
        <w:t xml:space="preserve">Ожидается, что темпы экономического роста Китая снизятся в 2024 г. до 4,5%, а в 2025 г. - до 4,3%, что станет самым медленным показателем роста экономики за более чем три десятилетия, за исключением пандемийных лет. Давление на экономическую активность оказывают слабые потребительские настроения и продолжающийся спад в секторе недвижимости.</w:t>
      </w:r>
    </w:p>
    <w:p>
      <w:pPr>
        <w:spacing w:after="60"/>
        <w:ind w:firstLine="567"/>
        <w:jc w:val="both"/>
      </w:pPr>
      <w:r>
        <w:rPr>
          <w:rFonts w:ascii="Arial" w:cs="Arial" w:eastAsia="Arial" w:hAnsi="Arial"/>
          <w:sz w:val="24"/>
          <w:szCs w:val="24"/>
        </w:rPr>
        <w:t xml:space="preserve">Ожидают, что темпы инфляции продолжат ослабевать в 2024-2025 гг., но будут держаться выше доковидных уровней до конца 2024 г.</w:t>
      </w:r>
    </w:p>
    <w:p>
      <w:pPr>
        <w:spacing w:after="60"/>
        <w:ind w:firstLine="567"/>
        <w:jc w:val="both"/>
      </w:pPr>
      <w:r>
        <w:rPr>
          <w:rFonts w:ascii="Arial" w:cs="Arial" w:eastAsia="Arial" w:hAnsi="Arial"/>
          <w:sz w:val="24"/>
          <w:szCs w:val="24"/>
        </w:rPr>
        <w:t xml:space="preserve">Международный валютный фонд (далее - МВФ) улучшил прогноз роста мировой экономики на 2024 г., увеличен на 0,3 процентного пункта - до 3,2%, а на 2025 г. прогнозирует рост глобальной экономики на 3,2%. В то же время прогноз на 2024-2025 гг. все же ниже исторического среднего показателя (2000-2019 гг.) в 3,8%.</w:t>
      </w:r>
    </w:p>
    <w:p>
      <w:pPr>
        <w:spacing w:after="60"/>
        <w:ind w:firstLine="567"/>
        <w:jc w:val="both"/>
      </w:pPr>
      <w:r>
        <w:rPr>
          <w:rFonts w:ascii="Arial" w:cs="Arial" w:eastAsia="Arial" w:hAnsi="Arial"/>
          <w:sz w:val="24"/>
          <w:szCs w:val="24"/>
        </w:rPr>
        <w:t xml:space="preserve">По оценкам МВФ экономический рост в еврозоне восстановится с его низких темпов в 0,5% в 2023 г. до 0,8% в 2024 г. и 1,5% в 2025 г. Рост в Китае прогнозируется экспертами МВФ на уровне 4,6% в 2024 г. и 4,1% в 2025 г. с пересмотром прогноза на 2024 г. в сторону повышения на 0,4 процентного пункта по сравнению с выпуском в октябре 2023 г. На всекитайском собрании народных представителей в Пекине в марте было объявлено, что целевой показатель роста ВВП в 2024 г. оставлен на уровне около 5%.</w:t>
      </w:r>
    </w:p>
    <w:p>
      <w:pPr>
        <w:spacing w:after="60"/>
        <w:ind w:firstLine="567"/>
        <w:jc w:val="both"/>
      </w:pPr>
      <w:r>
        <w:rPr>
          <w:rFonts w:ascii="Arial" w:cs="Arial" w:eastAsia="Arial" w:hAnsi="Arial"/>
          <w:sz w:val="24"/>
          <w:szCs w:val="24"/>
        </w:rPr>
        <w:t xml:space="preserve">В США экономический рост, по прогнозам МВФ увеличится с 2,5% в 2023 г. до 2,7% в 2024 г. и снизится до 1,9% в 2025 г., при этом запаздывающие последствия ужесточения денежно-кредитной политики, постепенного ужесточения бюджетной политики и смягчения ситуации на рынках труда замедлят совокупный спрос. ФРС существенно улучшила оценки по ВВП США, ожидаемый темп роста экономики в 2024-2025 гг. составит 2,1% и 2,0%, соответственно (против декабрьского на уровне 1,4% и 1,8%).</w:t>
      </w:r>
    </w:p>
    <w:p>
      <w:pPr>
        <w:spacing w:after="60"/>
        <w:ind w:firstLine="567"/>
        <w:jc w:val="both"/>
      </w:pPr>
      <w:r>
        <w:rPr>
          <w:rFonts w:ascii="Arial" w:cs="Arial" w:eastAsia="Arial" w:hAnsi="Arial"/>
          <w:sz w:val="24"/>
          <w:szCs w:val="24"/>
        </w:rPr>
        <w:t xml:space="preserve">Ожидается, что глобальная инфляция снизится до 5,8% в 2024 г. и до 4,4% в 2025 г. МВФ отмечает, что в условиях спада инфляции и устойчивого экономического роста вероятность "жесткой посадки" снизилась, а риски для глобального роста в целом сбалансированы.</w:t>
      </w:r>
    </w:p>
    <w:p>
      <w:pPr>
        <w:spacing w:after="60"/>
        <w:ind w:firstLine="567"/>
        <w:jc w:val="both"/>
      </w:pPr>
      <w:r>
        <w:rPr>
          <w:rFonts w:ascii="Arial" w:cs="Arial" w:eastAsia="Arial" w:hAnsi="Arial"/>
          <w:sz w:val="24"/>
          <w:szCs w:val="24"/>
        </w:rPr>
        <w:t xml:space="preserve">Прогнозы ВБ и МВФ экономического роста в государствах-членов ЕАЭС на 2024-2025 гг. более сдержанный и показывает положительную восстановительную динамику.</w:t>
      </w:r>
    </w:p>
    <w:p>
      <w:pPr>
        <w:spacing w:after="60"/>
        <w:ind w:firstLine="567"/>
        <w:jc w:val="both"/>
      </w:pPr>
      <w:r>
        <w:rPr>
          <w:rFonts w:ascii="Arial" w:cs="Arial" w:eastAsia="Arial" w:hAnsi="Arial"/>
          <w:sz w:val="24"/>
          <w:szCs w:val="24"/>
        </w:rPr>
        <w:t xml:space="preserve">Армения: в апрельском обзоре МВФ прогнозирует рост экономики Армении в 2024 г. на уровне 6% и 5,2% в 2025 г. ВБ улучшил прогноз роста экономики Армении на 2024 г., увеличен на 0,8 процентного пункта - до 5,5%, а на 2025 г. прогнозирует рост на 4,9%, вместо ранее прогнозируемого в 4,5%.</w:t>
      </w:r>
    </w:p>
    <w:p>
      <w:pPr>
        <w:spacing w:after="60"/>
        <w:ind w:firstLine="567"/>
        <w:jc w:val="both"/>
      </w:pPr>
      <w:r>
        <w:rPr>
          <w:rFonts w:ascii="Arial" w:cs="Arial" w:eastAsia="Arial" w:hAnsi="Arial"/>
          <w:sz w:val="24"/>
          <w:szCs w:val="24"/>
        </w:rPr>
        <w:t xml:space="preserve">Правительство Армении прогнозирует, что экономика страны в 2024 г. вырастет на 7%. Цель экономического роста следующих двух лет также установлена на уровне 7%. Увеличение предложения рабочей силы и высокая инвестиционная активность будут способствовать достижению этой цели в среднесрочной перспективе.</w:t>
      </w:r>
    </w:p>
    <w:p>
      <w:pPr>
        <w:spacing w:after="60"/>
        <w:ind w:firstLine="567"/>
        <w:jc w:val="both"/>
      </w:pPr>
      <w:r>
        <w:rPr>
          <w:rFonts w:ascii="Arial" w:cs="Arial" w:eastAsia="Arial" w:hAnsi="Arial"/>
          <w:sz w:val="24"/>
          <w:szCs w:val="24"/>
        </w:rPr>
        <w:t xml:space="preserve">Республика Беларусь: в экономике Республики Беларусь МВФ ожидает рост на уровне 2,4% в 2024 г. и 1,1% в 2025 г. В сравнении с предыдущим прогнозом от октября 2023 г. оценки на 2024 г. улучшены на 1,1 процентных пункта, и на 0,5 процентных пункта в 2025 г. ВБ улучшил прогноз в отношении белорусской экономики и рост экономики на 2024 г. прогнозируется на уровне 1,2% вместо ожидавшихся 0,8% в январе 2024 г. На 2025 г. рост экономики прогнозируется на уровне менее 1 процента - 0,7%, вместо ранее заявленных в 0,8%. Вместе с тем Министерство экономики Республики Беларусь прогнозирует рост экономики в 2024 г. на 3,8%.</w:t>
      </w:r>
    </w:p>
    <w:p>
      <w:pPr>
        <w:spacing w:after="60"/>
        <w:ind w:firstLine="567"/>
        <w:jc w:val="both"/>
      </w:pPr>
      <w:r>
        <w:rPr>
          <w:rFonts w:ascii="Arial" w:cs="Arial" w:eastAsia="Arial" w:hAnsi="Arial"/>
          <w:sz w:val="24"/>
          <w:szCs w:val="24"/>
        </w:rPr>
        <w:t xml:space="preserve">Республика Казахстан: МВФ ухудшил прогноз по темпам роста ВВП Республики Казахстана в 2024 г. с 4,2% до 3,1% по сравнению с оценками в октябре 2023 г. При этом улучшил прогноз на 2025 г. с 4,6% до 5,6%. Пессимистичные оценки МВФ на 2024 г. связаны с риском задержки расширения нефтяного месторождения Тенгиз, снижением цен на нефть, возможными перебоями в экспорте нефти и замедлением роста в странах - торговых партнерах (Европа, Китай). По оценке ВБ рост казахстанской экономики замедлится до 3,4% в 2024 г., против ранее ожидаемого роста на 4,3 , из-за более низкого, чем ожидалось, уровня нефтедобычи. При этом на 2025 г. улучшен прогноз с 4,5% до 4,7% за счет расширения производственных мощностей на существующих нефтяных месторождениях.</w:t>
      </w:r>
    </w:p>
    <w:p>
      <w:pPr>
        <w:spacing w:after="60"/>
        <w:ind w:firstLine="567"/>
        <w:jc w:val="both"/>
      </w:pPr>
      <w:r>
        <w:rPr>
          <w:rFonts w:ascii="Arial" w:cs="Arial" w:eastAsia="Arial" w:hAnsi="Arial"/>
          <w:sz w:val="24"/>
          <w:szCs w:val="24"/>
        </w:rPr>
        <w:t xml:space="preserve">При этом оценка Правительства Республики Казахстана оптимистичны, ожидают рост экономики на уровне 5,3% по итогам 2024 г.</w:t>
      </w:r>
    </w:p>
    <w:p>
      <w:pPr>
        <w:spacing w:after="60"/>
        <w:ind w:firstLine="567"/>
        <w:jc w:val="both"/>
      </w:pPr>
      <w:r>
        <w:rPr>
          <w:rFonts w:ascii="Arial" w:cs="Arial" w:eastAsia="Arial" w:hAnsi="Arial"/>
          <w:sz w:val="24"/>
          <w:szCs w:val="24"/>
        </w:rPr>
        <w:t xml:space="preserve">Российская Федерация: МВФ прогнозирует рост экономики Российской Федерации на 3,2% в 2024 г. и на 1,8% в 2025 г. МВФ улучшил октябрьский прогноз на 2024 г. на 2,1 процентных пункта из-за более сильного, чем ожидалось, роста экономики в 2023 г. (на 3,6%). ВБ в свою очередь тоже улучшил прогноз роста экономики Российской Федерации: в 2024 г. рост на 2,2% вместо ранее ожидаемого в 1,3% и на 1,1% в 2025 г., против ранее прогнозируемого на 0,9%.</w:t>
      </w:r>
    </w:p>
    <w:p>
      <w:pPr>
        <w:spacing w:after="60"/>
        <w:ind w:firstLine="567"/>
        <w:jc w:val="both"/>
      </w:pPr>
      <w:r>
        <w:rPr>
          <w:rFonts w:ascii="Arial" w:cs="Arial" w:eastAsia="Arial" w:hAnsi="Arial"/>
          <w:sz w:val="24"/>
          <w:szCs w:val="24"/>
        </w:rPr>
        <w:t xml:space="preserve">Министерство экономического развития Российской Федерации прогнозирует рост экономики в 2024 г. на уровне 2,3%. Центральный банк Российской Федерации прогнозирует рост ВВП страны в 2024 г. в диапазоне 1,0-2,0%.</w:t>
      </w:r>
    </w:p>
    <w:p>
      <w:pPr>
        <w:spacing w:after="60"/>
        <w:ind w:firstLine="567"/>
        <w:jc w:val="both"/>
      </w:pPr>
      <w:r>
        <w:rPr>
          <w:rFonts w:ascii="Arial" w:cs="Arial" w:eastAsia="Arial" w:hAnsi="Arial"/>
          <w:sz w:val="24"/>
          <w:szCs w:val="24"/>
        </w:rPr>
        <w:t xml:space="preserve">Экономическим перспективам Кыргызской Республики международные институты дают разнонаправленную оценку. МВФ на 2024 г. прогнозирует рост на 4,4%, на 2025 г. - на 4,2%. ВБ свои прогнозы в отношении кыргызской экономики на 2024 г. улучшил и прогнозирует на 2024 2025 гг. рост на 4,5% и 4,2% соответственно, вместо ранее прогнозируемых в 4%; Евразийский банк развития на 2024 г. рост на 4,5%, на 2025 г. - на 3,5%; Европейский банк реконструкции и развития на 2024 г. рост на 7,0%.</w:t>
      </w:r>
    </w:p>
    <w:p>
      <w:pPr>
        <w:spacing w:after="60"/>
        <w:ind w:firstLine="567"/>
        <w:jc w:val="both"/>
      </w:pPr>
      <w:r>
        <w:rPr>
          <w:rFonts w:ascii="Arial" w:cs="Arial" w:eastAsia="Arial" w:hAnsi="Arial"/>
          <w:sz w:val="24"/>
          <w:szCs w:val="24"/>
        </w:rPr>
        <w:t xml:space="preserve">Учитывая сложившиеся мировые тенденции, фактические количественные значения показателей и данные отраслевых министерств, ведомств и регионов, а также предпосылки и возможных влияющих факторов на экономику страны, произведены расчеты прогнозируемого развития экономики.</w:t>
      </w:r>
    </w:p>
    <w:p>
      <w:pPr>
        <w:spacing w:after="60"/>
        <w:ind w:firstLine="567"/>
        <w:jc w:val="both"/>
      </w:pPr>
      <w:r>
        <w:rPr>
          <w:rFonts w:ascii="Arial" w:cs="Arial" w:eastAsia="Arial" w:hAnsi="Arial"/>
          <w:sz w:val="24"/>
          <w:szCs w:val="24"/>
        </w:rPr>
        <w:t xml:space="preserve">Рост экономики в Кыргызской Республике на среднесрочный период прогнозируется выше уровня потенциального роста, поскольку наблюдается восстановление деловой активности, запланирован запуск крупных инвестиционных проектов в промышленности, масштабные работы по строительству энергетических, социальных и жилищных объектов, восстановление ирригационных систем водоснабжения.</w:t>
      </w:r>
    </w:p>
    <w:p>
      <w:pPr>
        <w:spacing w:after="60"/>
        <w:ind w:firstLine="567"/>
        <w:jc w:val="both"/>
      </w:pPr>
      <w:r>
        <w:rPr>
          <w:rFonts w:ascii="Arial" w:cs="Arial" w:eastAsia="Arial" w:hAnsi="Arial"/>
          <w:sz w:val="24"/>
          <w:szCs w:val="24"/>
        </w:rPr>
        <w:t xml:space="preserve">Несмотря на высокую статистическую базу показателей за предыдущие годы, в оценку включены ожидаемые наилучшие результаты проводимой полномасштабной цифровизации экономики для обеспечения наполнения доходной части бюджета, проводимой работы по переходу на международные стандарты СНС-2008, позволившая улучшение охвата на основе подробных отчетов по отдельным видам деятельности субъектов хозяйствования, что окажет положительное влияние на объем компонентов ВВП.</w:t>
      </w:r>
    </w:p>
    <w:p>
      <w:pPr>
        <w:spacing w:after="200" w:before="200"/>
        <w:jc w:val="center"/>
      </w:pPr>
      <w:r>
        <w:rPr>
          <w:rFonts w:ascii="Arial" w:cs="Arial" w:eastAsia="Arial" w:hAnsi="Arial"/>
          <w:b/>
          <w:bCs/>
          <w:sz w:val="24"/>
          <w:szCs w:val="24"/>
        </w:rPr>
        <w:t xml:space="preserve">4. Макроэкономические показатели, ожидаемые в 2024 г.</w:t>
      </w:r>
    </w:p>
    <w:p>
      <w:pPr>
        <w:spacing w:after="60"/>
        <w:ind w:firstLine="567"/>
        <w:jc w:val="both"/>
      </w:pPr>
      <w:r>
        <w:rPr>
          <w:rFonts w:ascii="Arial" w:cs="Arial" w:eastAsia="Arial" w:hAnsi="Arial"/>
          <w:sz w:val="24"/>
          <w:szCs w:val="24"/>
        </w:rPr>
        <w:t xml:space="preserve">Основным направлением деятельности на 2024 г. является обеспечение макроэкономической стабильности, включая принятия действенных мер по сдерживанию роста уровня потребительских цен, предотвращению и минимизацию влияния кризисных проявлений.</w:t>
      </w:r>
    </w:p>
    <w:p>
      <w:pPr>
        <w:spacing w:after="60"/>
        <w:ind w:firstLine="567"/>
        <w:jc w:val="both"/>
      </w:pPr>
      <w:r>
        <w:rPr>
          <w:rFonts w:ascii="Arial" w:cs="Arial" w:eastAsia="Arial" w:hAnsi="Arial"/>
          <w:sz w:val="24"/>
          <w:szCs w:val="24"/>
        </w:rPr>
        <w:t xml:space="preserve">Принят детализированный План действий Кабинета Министров Кыргызской Республики на 2024 г. (</w:t>
      </w:r>
      <w:r>
        <w:rPr>
          <w:rFonts w:ascii="Arial" w:cs="Arial" w:eastAsia="Arial" w:hAnsi="Arial"/>
          <w:sz w:val="24"/>
          <w:szCs w:val="24"/>
        </w:rPr>
        <w:t xml:space="preserve">распоряжение</w:t>
      </w:r>
      <w:r>
        <w:rPr>
          <w:rFonts w:ascii="Arial" w:cs="Arial" w:eastAsia="Arial" w:hAnsi="Arial"/>
          <w:sz w:val="24"/>
          <w:szCs w:val="24"/>
        </w:rPr>
        <w:t xml:space="preserve"> Кабинета Министров Кыргызской Республики от 24 января 2024 г. № 14-р), который направлен на обеспечение экономического роста, финансовой стабильности страны, а также на проведение комплекса мер по созданию благоприятных условий для ведения экономической деятельности, увеличению доходной части бюджета путем дальнейшего улучшения налогового администрирования и фискализации налоговых и таможенных процедур, обеспечению ценовой стабильности, устойчивости систем жизнеобеспечения, выполнение всех социальных обязательств и достижению стратегических ориентиров и приоритетов.</w:t>
      </w:r>
    </w:p>
    <w:p>
      <w:pPr>
        <w:spacing w:after="60"/>
        <w:ind w:firstLine="567"/>
        <w:jc w:val="both"/>
      </w:pPr>
      <w:r>
        <w:rPr>
          <w:rFonts w:ascii="Arial" w:cs="Arial" w:eastAsia="Arial" w:hAnsi="Arial"/>
          <w:sz w:val="24"/>
          <w:szCs w:val="24"/>
        </w:rPr>
        <w:t xml:space="preserve">Особый фокус придан реализации мер, направленных на развитие стратегических отраслей экономики: агропромышленного сектора, энергетики, строительства, промышленности, горной добычи, транспорта и дорожного сектора, туризма и индустрии услуг, что будет способствовать появлению новых рабочих мест, созданию условий для полноценной реализации экономического потенциала страны.</w:t>
      </w:r>
    </w:p>
    <w:p>
      <w:pPr>
        <w:spacing w:after="60"/>
        <w:ind w:firstLine="567"/>
        <w:jc w:val="both"/>
      </w:pPr>
      <w:r>
        <w:rPr>
          <w:rFonts w:ascii="Arial" w:cs="Arial" w:eastAsia="Arial" w:hAnsi="Arial"/>
          <w:sz w:val="24"/>
          <w:szCs w:val="24"/>
        </w:rPr>
        <w:t xml:space="preserve">Экономическое развитие будет происходить в условиях замедления темпов роста мировой экономики на фоне продолжения влияния геополитической напряженности в мире, фрагментации мировой экономики, продолжения влияния санкционной политики.</w:t>
      </w:r>
    </w:p>
    <w:p>
      <w:pPr>
        <w:spacing w:after="60"/>
        <w:ind w:firstLine="567"/>
        <w:jc w:val="both"/>
      </w:pPr>
      <w:r>
        <w:rPr>
          <w:rFonts w:ascii="Arial" w:cs="Arial" w:eastAsia="Arial" w:hAnsi="Arial"/>
          <w:sz w:val="24"/>
          <w:szCs w:val="24"/>
        </w:rPr>
        <w:t xml:space="preserve">На основе учета предпосылок и предположений, экономический рост в 2024 г. ожидается на уровне 106,3%, номинальный объем ВВП в сумме 1414,7 млрд. сомов, а без учета золота - на уровне 106,9%. Ожидаемые социально-экономические показатели в 2024 г. сложатся следующим образом: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8</w:t>
      </w:r>
    </w:p>
    <w:p>
      <w:pPr>
        <w:spacing w:after="60"/>
        <w:ind w:firstLine="567"/>
        <w:jc w:val="right"/>
      </w:pPr>
      <w:r>
        <w:rPr>
          <w:rFonts w:ascii="Arial" w:cs="Arial" w:eastAsia="Arial" w:hAnsi="Arial"/>
          <w:sz w:val="24"/>
          <w:szCs w:val="24"/>
        </w:rPr>
        <w:t xml:space="preserve"/>
      </w:r>
    </w:p>
    <w:p>
      <w:pPr>
        <w:spacing w:after="60"/>
        <w:jc w:val="center"/>
      </w:pPr>
      <w:r>
        <w:rPr>
          <w:rFonts w:ascii="Arial" w:cs="Arial" w:eastAsia="Arial" w:hAnsi="Arial"/>
          <w:b/>
          <w:bCs/>
          <w:sz w:val="24"/>
          <w:szCs w:val="24"/>
        </w:rPr>
        <w:t xml:space="preserve">Структура и темпы роста по отраслям, формирующим ВВП
 </w:t>
      </w:r>
      <w:r>
        <w:rPr>
          <w:rFonts w:ascii="Arial" w:cs="Arial" w:eastAsia="Arial" w:hAnsi="Arial"/>
          <w:sz w:val="24"/>
          <w:szCs w:val="24"/>
        </w:rPr>
        <w:t xml:space="preserve">(темпы роста приведены по ВДС)</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0"/>
        <w:gridCol w:w="976"/>
        <w:gridCol w:w="976"/>
        <w:gridCol w:w="976"/>
        <w:gridCol w:w="1300"/>
        <w:gridCol w:w="1300"/>
        <w:gridCol w:w="1300"/>
        <w:gridCol w:w="1300"/>
      </w:tblGrid>
      <w:tr>
        <w:tc>
          <w:tcPr>
            <w:tcW w:type="dxa" w:w="205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2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 пред. факт</w:t>
            </w:r>
          </w:p>
        </w:tc>
        <w:tc>
          <w:tcPr>
            <w:tcW w:type="dxa" w:w="520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 ожидаемое</w:t>
            </w:r>
          </w:p>
        </w:tc>
      </w:tr>
      <w:tr>
        <w:tc>
          <w:tcPr>
            <w:vMerge w:val="continue"/>
            <w:tcBorders>
              <w:top w:val="single" w:color="CBBF9E" w:sz="4"/>
              <w:left w:val="single" w:color="CBBF9E" w:sz="4"/>
              <w:bottom w:val="single" w:color="CBBF9E" w:sz="4"/>
              <w:right w:val="single" w:color="CBBF9E" w:sz="4"/>
            </w:tcBorders>
          </w:tcP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в п.п.</w:t>
            </w:r>
          </w:p>
        </w:tc>
      </w:tr>
      <w:tr>
        <w:tc>
          <w:tcPr>
            <w:tcW w:type="dxa" w:w="20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1228898,8</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106,2</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1414726,7</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106,3</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w:t>
            </w:r>
          </w:p>
        </w:tc>
      </w:tr>
      <w:tr>
        <w:tc>
          <w:tcPr>
            <w:tcW w:type="dxa" w:w="2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196417,8</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213447,9</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2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118646,5</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127206,8</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2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81748,6</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99690,6</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2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624165,4</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714556,4</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2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207920,5</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259824,9</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В 2024 г. в секторах экономики рост оценивается следующим образом: в сельском хозяйстве - на 2,5%, промышленности - на 3,1%; сфере услуг - на 6,1%, строительстве - на 15,7%.</w:t>
      </w:r>
    </w:p>
    <w:p>
      <w:pPr>
        <w:spacing w:after="60"/>
        <w:ind w:firstLine="567"/>
        <w:jc w:val="both"/>
      </w:pPr>
      <w:r>
        <w:rPr>
          <w:rFonts w:ascii="Arial" w:cs="Arial" w:eastAsia="Arial" w:hAnsi="Arial"/>
          <w:sz w:val="24"/>
          <w:szCs w:val="24"/>
        </w:rPr>
        <w:t xml:space="preserve">Валовой выпуск продукции сельского хозяйства, лесного хозяйства и рыболовства на 2024 г. ожидается в объеме 406,0 млрд. сомов, а темп реального прироста - на уровне 2,5%, за счет прироста в растениеводстве - на 2,8% и животноводстве - на 2,3%.</w:t>
      </w:r>
    </w:p>
    <w:p>
      <w:pPr>
        <w:spacing w:after="60"/>
        <w:ind w:firstLine="567"/>
        <w:jc w:val="both"/>
      </w:pPr>
      <w:r>
        <w:rPr>
          <w:rFonts w:ascii="Arial" w:cs="Arial" w:eastAsia="Arial" w:hAnsi="Arial"/>
          <w:sz w:val="24"/>
          <w:szCs w:val="24"/>
        </w:rPr>
        <w:t xml:space="preserve">Несмотря на низкую базу 2023 г. (100,6%), в сельском хозяйстве в 2024 г. ожидается умеренный рост из-за ожидаемого продолжения неблагоприятных природно-климатических условий (маловодье, высокая вероятность усиления жары).</w:t>
      </w:r>
    </w:p>
    <w:p>
      <w:pPr>
        <w:spacing w:after="60"/>
        <w:ind w:firstLine="567"/>
        <w:jc w:val="both"/>
      </w:pPr>
      <w:r>
        <w:rPr>
          <w:rFonts w:ascii="Arial" w:cs="Arial" w:eastAsia="Arial" w:hAnsi="Arial"/>
          <w:sz w:val="24"/>
          <w:szCs w:val="24"/>
        </w:rPr>
        <w:t xml:space="preserve">Продолжится меры государственной поддержки аграрного сектора:</w:t>
      </w:r>
    </w:p>
    <w:p>
      <w:pPr>
        <w:spacing w:after="60"/>
        <w:ind w:firstLine="567"/>
        <w:jc w:val="both"/>
      </w:pPr>
      <w:r>
        <w:rPr>
          <w:rFonts w:ascii="Arial" w:cs="Arial" w:eastAsia="Arial" w:hAnsi="Arial"/>
          <w:sz w:val="24"/>
          <w:szCs w:val="24"/>
        </w:rPr>
        <w:t xml:space="preserve">- предоставление льготных кредитов по программе "Финансирование сельского хозяйства - 12" (</w:t>
      </w:r>
      <w:r>
        <w:rPr>
          <w:rFonts w:ascii="Arial" w:cs="Arial" w:eastAsia="Arial" w:hAnsi="Arial"/>
          <w:sz w:val="24"/>
          <w:szCs w:val="24"/>
        </w:rPr>
        <w:t xml:space="preserve">распоряжение</w:t>
      </w:r>
      <w:r>
        <w:rPr>
          <w:rFonts w:ascii="Arial" w:cs="Arial" w:eastAsia="Arial" w:hAnsi="Arial"/>
          <w:sz w:val="24"/>
          <w:szCs w:val="24"/>
        </w:rPr>
        <w:t xml:space="preserve"> Кабинета Министров Кыргызской Республики "Об утверждении проекта "Финансирование сельского хозяйства - 12" от 26 января 2024 г. № 22-р). Участвуют два ведущих коммерческих банка республики, ОАО "Айыл Банк" и "РСК Банк", с общим объемом кредитования в размере 7 млрд. сомов;</w:t>
      </w:r>
    </w:p>
    <w:p>
      <w:pPr>
        <w:spacing w:after="60"/>
        <w:ind w:firstLine="567"/>
        <w:jc w:val="both"/>
      </w:pPr>
      <w:r>
        <w:rPr>
          <w:rFonts w:ascii="Arial" w:cs="Arial" w:eastAsia="Arial" w:hAnsi="Arial"/>
          <w:sz w:val="24"/>
          <w:szCs w:val="24"/>
        </w:rPr>
        <w:t xml:space="preserve">- реализация проекта "Кредитование агропромышленного комплекса" (</w:t>
      </w:r>
      <w:hyperlink w:history="1" r:id="rIdm32t-w9kvy6cdk_hce5xw">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мерах по развитию агропромышленного комплекса Кыргызской Республики" от 8 февраля 2021 г. № 25), в соответствии с </w:t>
      </w:r>
      <w:hyperlink w:history="1" r:id="rIdsuf3ze3hlo2np1iyuvx3c">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Кабинета Министров Кыргызской Республики от 16 марта 2022 г. № 120-р предусматривает выделение средств в размере 9,9 млрд. сомов;</w:t>
      </w:r>
    </w:p>
    <w:p>
      <w:pPr>
        <w:spacing w:after="60"/>
        <w:ind w:firstLine="567"/>
        <w:jc w:val="both"/>
      </w:pPr>
      <w:r>
        <w:rPr>
          <w:rFonts w:ascii="Arial" w:cs="Arial" w:eastAsia="Arial" w:hAnsi="Arial"/>
          <w:sz w:val="24"/>
          <w:szCs w:val="24"/>
        </w:rPr>
        <w:t xml:space="preserve">- сельскохозяйственный сектор получает необходимые ресурсы, такие как топливо, сельскохозяйственная техника, удобрения и вода. Планируется выполнение работ по ремонту и очистке более 600 километров каналов, а также ввод в эксплуатацию 17 гидротехнических сооружений. Для текущего и капитального ремонта ирригационных систем выделено 2 млрд. сомов на протяжении 250,4 км, а также на ремонт 78 гидротехнических сооружений, 22 гидрометрических постов и 29 насосных станций.</w:t>
      </w:r>
    </w:p>
    <w:p>
      <w:pPr>
        <w:spacing w:after="60"/>
        <w:ind w:firstLine="567"/>
        <w:jc w:val="both"/>
      </w:pPr>
      <w:r>
        <w:rPr>
          <w:rFonts w:ascii="Arial" w:cs="Arial" w:eastAsia="Arial" w:hAnsi="Arial"/>
          <w:sz w:val="24"/>
          <w:szCs w:val="24"/>
        </w:rPr>
        <w:t xml:space="preserve">Общая посевная площадь сельскохозяйственных культур в 2024 г. составит 1232,6 тыс. га, что на 4,0 тыс. га больше, чем в 2023 г.</w:t>
      </w:r>
    </w:p>
    <w:p>
      <w:pPr>
        <w:spacing w:after="60"/>
        <w:ind w:firstLine="567"/>
        <w:jc w:val="both"/>
      </w:pPr>
      <w:r>
        <w:rPr>
          <w:rFonts w:ascii="Arial" w:cs="Arial" w:eastAsia="Arial" w:hAnsi="Arial"/>
          <w:sz w:val="24"/>
          <w:szCs w:val="24"/>
        </w:rPr>
        <w:t xml:space="preserve">Рост объемов в растениеводстве будет обеспечен путем расширения производства следующих культур:</w:t>
      </w:r>
    </w:p>
    <w:p>
      <w:pPr>
        <w:spacing w:after="60"/>
        <w:ind w:firstLine="567"/>
        <w:jc w:val="both"/>
      </w:pPr>
      <w:r>
        <w:rPr>
          <w:rFonts w:ascii="Arial" w:cs="Arial" w:eastAsia="Arial" w:hAnsi="Arial"/>
          <w:sz w:val="24"/>
          <w:szCs w:val="24"/>
        </w:rPr>
        <w:t xml:space="preserve">- зерновые культуры - на 17,2% путем увеличения посевной площади до 658,8 тыс. га (на 9,8 тыс. га), с целью обеспечения необходимого объема продукции для производства муки и хлебопродуктов из собственного сырья;</w:t>
      </w:r>
    </w:p>
    <w:p>
      <w:pPr>
        <w:spacing w:after="60"/>
        <w:ind w:firstLine="567"/>
        <w:jc w:val="both"/>
      </w:pPr>
      <w:r>
        <w:rPr>
          <w:rFonts w:ascii="Arial" w:cs="Arial" w:eastAsia="Arial" w:hAnsi="Arial"/>
          <w:sz w:val="24"/>
          <w:szCs w:val="24"/>
        </w:rPr>
        <w:t xml:space="preserve">- сахарной свеклы на 24,0% за счет увеличения посевной площади до 14,0 тыс. га (на 0,9 тыс. га);</w:t>
      </w:r>
    </w:p>
    <w:p>
      <w:pPr>
        <w:spacing w:after="60"/>
        <w:ind w:firstLine="567"/>
        <w:jc w:val="both"/>
      </w:pPr>
      <w:r>
        <w:rPr>
          <w:rFonts w:ascii="Arial" w:cs="Arial" w:eastAsia="Arial" w:hAnsi="Arial"/>
          <w:sz w:val="24"/>
          <w:szCs w:val="24"/>
        </w:rPr>
        <w:t xml:space="preserve">- масличные культуры - на 44,3% за счет увеличения посевной площади до 22 тыс. га, при этом увеличение производства наблюдается за счет низкой базы 2023 г.</w:t>
      </w:r>
    </w:p>
    <w:p>
      <w:pPr>
        <w:spacing w:after="60"/>
        <w:ind w:firstLine="567"/>
        <w:jc w:val="both"/>
      </w:pPr>
      <w:r>
        <w:rPr>
          <w:rFonts w:ascii="Arial" w:cs="Arial" w:eastAsia="Arial" w:hAnsi="Arial"/>
          <w:sz w:val="24"/>
          <w:szCs w:val="24"/>
        </w:rPr>
        <w:t xml:space="preserve">Рост производства продукции животноводства на уровне 2,4% ожидается за счет обеспечения благополучной эпизоотической ситуации в стране, увеличение поголовья скота, улучшение генофонда племенных животных, а также осуществление мер по воспроизводству стада.</w:t>
      </w:r>
    </w:p>
    <w:p>
      <w:pPr>
        <w:spacing w:after="60"/>
        <w:ind w:firstLine="567"/>
        <w:jc w:val="both"/>
      </w:pPr>
      <w:r>
        <w:rPr>
          <w:rFonts w:ascii="Arial" w:cs="Arial" w:eastAsia="Arial" w:hAnsi="Arial"/>
          <w:sz w:val="24"/>
          <w:szCs w:val="24"/>
        </w:rPr>
        <w:t xml:space="preserve">Влияние сельского хозяйства на темпы экономического роста будет нейтральным и составит 0,2 процентного пункта, удельный вес в структуре производства ВВП - 9%.</w:t>
      </w:r>
    </w:p>
    <w:p>
      <w:pPr>
        <w:spacing w:after="60"/>
        <w:ind w:firstLine="567"/>
        <w:jc w:val="both"/>
      </w:pPr>
      <w:r>
        <w:rPr>
          <w:rFonts w:ascii="Arial" w:cs="Arial" w:eastAsia="Arial" w:hAnsi="Arial"/>
          <w:sz w:val="24"/>
          <w:szCs w:val="24"/>
        </w:rPr>
        <w:t xml:space="preserve">В промышленном секторе в 2024 г. ожидается увеличение валового объема производства на 3,1%, без золота - на 7,4%. Умеренный рост в целом в данном секторе обусловлен плановым сокращением добычи основного металла на месторождениях Кумтор и Джеруй, которые занимают значительную долю в промышленности (почти 40%) на 10,0% по сравнению с фактическими данными за 2023 г. При этом ожидается наращивание объемов производства основных металлов ОсОО "Эти Бакыр Терексай" на руднике Терек-Сай (Чаткальский район Джалал-Абадской области).</w:t>
      </w:r>
    </w:p>
    <w:p>
      <w:pPr>
        <w:spacing w:after="60"/>
        <w:ind w:firstLine="567"/>
        <w:jc w:val="both"/>
      </w:pPr>
      <w:r>
        <w:rPr>
          <w:rFonts w:ascii="Arial" w:cs="Arial" w:eastAsia="Arial" w:hAnsi="Arial"/>
          <w:sz w:val="24"/>
          <w:szCs w:val="24"/>
        </w:rPr>
        <w:t xml:space="preserve">Ожидается прирост объемов производства:</w:t>
      </w:r>
    </w:p>
    <w:p>
      <w:pPr>
        <w:spacing w:after="60"/>
        <w:ind w:firstLine="567"/>
        <w:jc w:val="both"/>
      </w:pPr>
      <w:r>
        <w:rPr>
          <w:rFonts w:ascii="Arial" w:cs="Arial" w:eastAsia="Arial" w:hAnsi="Arial"/>
          <w:sz w:val="24"/>
          <w:szCs w:val="24"/>
        </w:rPr>
        <w:t xml:space="preserve">- продуктов (включая напитки) и табачных изделий в 2024 г. на уровне 9,2%;</w:t>
      </w:r>
    </w:p>
    <w:p>
      <w:pPr>
        <w:spacing w:after="60"/>
        <w:ind w:firstLine="567"/>
        <w:jc w:val="both"/>
      </w:pPr>
      <w:r>
        <w:rPr>
          <w:rFonts w:ascii="Arial" w:cs="Arial" w:eastAsia="Arial" w:hAnsi="Arial"/>
          <w:sz w:val="24"/>
          <w:szCs w:val="24"/>
        </w:rPr>
        <w:t xml:space="preserve">- одежды, текстиля и обуви, кожи и прочих кожаных изделий - на 9% (в 2024 г. планируется открытие II этапа строительства текстильной фабрики с увеличением производственной мощности ОсОО "Текстиль Транс", Чуйский район Чуйской области);</w:t>
      </w:r>
    </w:p>
    <w:p>
      <w:pPr>
        <w:spacing w:after="60"/>
        <w:ind w:firstLine="567"/>
        <w:jc w:val="both"/>
      </w:pPr>
      <w:r>
        <w:rPr>
          <w:rFonts w:ascii="Arial" w:cs="Arial" w:eastAsia="Arial" w:hAnsi="Arial"/>
          <w:sz w:val="24"/>
          <w:szCs w:val="24"/>
        </w:rPr>
        <w:t xml:space="preserve">- нефтепродуктов - на 6,5% за счет наращивания объемов производства на Джалал-Абадском НПЗ и постепенное восстановление объемов производства НПЗ "Джунда" в Чуйской области;</w:t>
      </w:r>
    </w:p>
    <w:p>
      <w:pPr>
        <w:spacing w:after="60"/>
        <w:ind w:firstLine="567"/>
        <w:jc w:val="both"/>
      </w:pPr>
      <w:r>
        <w:rPr>
          <w:rFonts w:ascii="Arial" w:cs="Arial" w:eastAsia="Arial" w:hAnsi="Arial"/>
          <w:sz w:val="24"/>
          <w:szCs w:val="24"/>
        </w:rPr>
        <w:t xml:space="preserve">- строительных материалов - на 15,2% за счет устойчивой производственной деятельности действующих предприятий для обеспечения потребности строительного сектора, где в 2024 г. ожидается рост на 15,7%. Ожидается запуск проекта по добыче и производству цемента на базе ОсОО "Курментыцемент" в Тюпском районе Иссык-Кульской области. В 2024 г. планируется запуск в эксплуатацию завода по производству клинкера ОсОО "Терек Таш" в Кеминском районе Чуйской области;</w:t>
      </w:r>
    </w:p>
    <w:p>
      <w:pPr>
        <w:spacing w:after="60"/>
        <w:ind w:firstLine="567"/>
        <w:jc w:val="both"/>
      </w:pPr>
      <w:r>
        <w:rPr>
          <w:rFonts w:ascii="Arial" w:cs="Arial" w:eastAsia="Arial" w:hAnsi="Arial"/>
          <w:sz w:val="24"/>
          <w:szCs w:val="24"/>
        </w:rPr>
        <w:t xml:space="preserve">- машин и оборудования - на 12% за счет наращивания изготовления запчастей и инструментов для горно-геологических работ, буровых мачт, лабораторных дробилок, подъемников механизированных шурфопроходческих (ГП "Бишкекский опытно-экспериментальный завод"). Кроме того по линии ОАО "Кыргызиндустрия" запланировано производство по сборке принтеров, серверного оборудования, ККМ;</w:t>
      </w:r>
    </w:p>
    <w:p>
      <w:pPr>
        <w:spacing w:after="60"/>
        <w:ind w:firstLine="567"/>
        <w:jc w:val="both"/>
      </w:pPr>
      <w:r>
        <w:rPr>
          <w:rFonts w:ascii="Arial" w:cs="Arial" w:eastAsia="Arial" w:hAnsi="Arial"/>
          <w:sz w:val="24"/>
          <w:szCs w:val="24"/>
        </w:rPr>
        <w:t xml:space="preserve">- транспортных средств - на 6,5% за счет наращивания действующих производственных мощностей по сборке легковых и коммерческих автомобилей на электрическом двигателе.</w:t>
      </w:r>
    </w:p>
    <w:p>
      <w:pPr>
        <w:spacing w:after="60"/>
        <w:ind w:firstLine="567"/>
        <w:jc w:val="both"/>
      </w:pPr>
      <w:r>
        <w:rPr>
          <w:rFonts w:ascii="Arial" w:cs="Arial" w:eastAsia="Arial" w:hAnsi="Arial"/>
          <w:sz w:val="24"/>
          <w:szCs w:val="24"/>
        </w:rPr>
        <w:t xml:space="preserve">В 2024 г. ожидается увеличение выработки электроэнергии на 2,5%, с учетом ее объемов передачи и распределения, а также ростом производства газа и распределения газообразного топлива через системы газоснабжения на 8%, ожидается рост объемов в этой отрасли на 3,3%.</w:t>
      </w:r>
    </w:p>
    <w:p>
      <w:pPr>
        <w:spacing w:after="60"/>
        <w:ind w:firstLine="567"/>
        <w:jc w:val="both"/>
      </w:pPr>
      <w:r>
        <w:rPr>
          <w:rFonts w:ascii="Arial" w:cs="Arial" w:eastAsia="Arial" w:hAnsi="Arial"/>
          <w:sz w:val="24"/>
          <w:szCs w:val="24"/>
        </w:rPr>
        <w:t xml:space="preserve">Ожидается рост объемов добычи полезных ископаемых за счет увеличения добычи угля на 5,8%, сырой нефти и природного газа - на 4,2% и металлических руд - на 2,9%.</w:t>
      </w:r>
    </w:p>
    <w:p>
      <w:pPr>
        <w:spacing w:after="60"/>
        <w:ind w:firstLine="567"/>
        <w:jc w:val="both"/>
      </w:pPr>
      <w:r>
        <w:rPr>
          <w:rFonts w:ascii="Arial" w:cs="Arial" w:eastAsia="Arial" w:hAnsi="Arial"/>
          <w:sz w:val="24"/>
          <w:szCs w:val="24"/>
        </w:rPr>
        <w:t xml:space="preserve">Положительное влияние промышленного сектора на темпы экономического роста составит 0,5 процентного пункта, удельный вес в структуре производства ВВП - 15,1%.</w:t>
      </w:r>
    </w:p>
    <w:p>
      <w:pPr>
        <w:spacing w:after="60"/>
        <w:ind w:firstLine="567"/>
        <w:jc w:val="both"/>
      </w:pPr>
      <w:r>
        <w:rPr>
          <w:rFonts w:ascii="Arial" w:cs="Arial" w:eastAsia="Arial" w:hAnsi="Arial"/>
          <w:sz w:val="24"/>
          <w:szCs w:val="24"/>
        </w:rPr>
        <w:t xml:space="preserve">В строительном секторе страны прогнозируется увеличение капитальных вложений на 28,1% (объемы составят 221,7 млрд. сомов), в том числе: за счет внутренних источников финансирования предусмотрено поступление капитальных вложений:</w:t>
      </w:r>
    </w:p>
    <w:p>
      <w:pPr>
        <w:spacing w:after="60"/>
        <w:ind w:firstLine="567"/>
        <w:jc w:val="both"/>
      </w:pPr>
      <w:r>
        <w:rPr>
          <w:rFonts w:ascii="Arial" w:cs="Arial" w:eastAsia="Arial" w:hAnsi="Arial"/>
          <w:sz w:val="24"/>
          <w:szCs w:val="24"/>
        </w:rPr>
        <w:t xml:space="preserve">- из республиканского бюджета по статье "Капитальные вложения" в сумме 8000,0 млн. сомов (запланировано строительство 381 объекта, из них 248 объектов будут возведены с нуля (в том числе 154 новых школ и 45 детских садов), еще на 80 объектах проведут капитальный ремонт (в том числе в 58 школах и 5 детских садах), на который предусмотрен 1 млрд. сомов. Будут достроены 135 "затянувшихся" объектов. 55 сел будут обеспечены питьевой водой. Кроме этого будет построено 23 объекта в сфере здравоохранения на 1 млрд. сомов.</w:t>
      </w:r>
    </w:p>
    <w:p>
      <w:pPr>
        <w:spacing w:after="60"/>
        <w:ind w:firstLine="567"/>
        <w:jc w:val="both"/>
      </w:pPr>
      <w:r>
        <w:rPr>
          <w:rFonts w:ascii="Arial" w:cs="Arial" w:eastAsia="Arial" w:hAnsi="Arial"/>
          <w:sz w:val="24"/>
          <w:szCs w:val="24"/>
        </w:rPr>
        <w:t xml:space="preserve">В 2024 г. в первоочередном порядке ресурсы государственных капитальных вложений будут направлены: на завершение/продолжение проектирования, строительства, капитального ремонта и реконструкции социально-экономических объектов, систем питьевого водоснабжения, ирригационных сооружений, автомобильных дорог, объектов национальной безопасности, правопорядка, вооруженных сил и объектов стратегического значения;</w:t>
      </w:r>
    </w:p>
    <w:p>
      <w:pPr>
        <w:spacing w:after="60"/>
        <w:ind w:firstLine="567"/>
        <w:jc w:val="both"/>
      </w:pPr>
      <w:r>
        <w:rPr>
          <w:rFonts w:ascii="Arial" w:cs="Arial" w:eastAsia="Arial" w:hAnsi="Arial"/>
          <w:sz w:val="24"/>
          <w:szCs w:val="24"/>
        </w:rPr>
        <w:t xml:space="preserve">- из местного бюджета:</w:t>
      </w:r>
    </w:p>
    <w:p>
      <w:pPr>
        <w:spacing w:after="60"/>
        <w:ind w:firstLine="567"/>
        <w:jc w:val="both"/>
      </w:pPr>
      <w:r>
        <w:rPr>
          <w:rFonts w:ascii="Arial" w:cs="Arial" w:eastAsia="Arial" w:hAnsi="Arial"/>
          <w:sz w:val="24"/>
          <w:szCs w:val="24"/>
        </w:rPr>
        <w:t xml:space="preserve">а) в Бишкеке начнется строительство локальных тепловых электростанций и котельных для децентрализации и увеличения мощности систем теплоснабжения;</w:t>
      </w:r>
    </w:p>
    <w:p>
      <w:pPr>
        <w:spacing w:after="60"/>
        <w:ind w:firstLine="567"/>
        <w:jc w:val="both"/>
      </w:pPr>
      <w:r>
        <w:rPr>
          <w:rFonts w:ascii="Arial" w:cs="Arial" w:eastAsia="Arial" w:hAnsi="Arial"/>
          <w:sz w:val="24"/>
          <w:szCs w:val="24"/>
        </w:rPr>
        <w:t xml:space="preserve">б) в целях увеличения зон отдыха для горожан и гостей столицы будут построены парки площадью 2,2 гектара в жилмассивах "Ак-Босого" и 2,4 гектара в "Ак-Орго";</w:t>
      </w:r>
    </w:p>
    <w:p>
      <w:pPr>
        <w:spacing w:after="60"/>
        <w:ind w:firstLine="567"/>
        <w:jc w:val="both"/>
      </w:pPr>
      <w:r>
        <w:rPr>
          <w:rFonts w:ascii="Arial" w:cs="Arial" w:eastAsia="Arial" w:hAnsi="Arial"/>
          <w:sz w:val="24"/>
          <w:szCs w:val="24"/>
        </w:rPr>
        <w:t xml:space="preserve">в) строительство многоярусных парковок и дорожных развязок;</w:t>
      </w:r>
    </w:p>
    <w:p>
      <w:pPr>
        <w:spacing w:after="60"/>
        <w:ind w:firstLine="567"/>
        <w:jc w:val="both"/>
      </w:pPr>
      <w:r>
        <w:rPr>
          <w:rFonts w:ascii="Arial" w:cs="Arial" w:eastAsia="Arial" w:hAnsi="Arial"/>
          <w:sz w:val="24"/>
          <w:szCs w:val="24"/>
        </w:rPr>
        <w:t xml:space="preserve">- за счет средств предприятий и организаций в сумме 68,3 млрд. сомов (за счет инвестиций ЗАО "Кумтор Голд Компани" (26297,1 млн. сомов); ОАО "Кыргызалтын" (600,0 млн. сомов) и др.</w:t>
      </w:r>
    </w:p>
    <w:p>
      <w:pPr>
        <w:spacing w:after="60"/>
        <w:ind w:firstLine="567"/>
        <w:jc w:val="both"/>
      </w:pPr>
      <w:r>
        <w:rPr>
          <w:rFonts w:ascii="Arial" w:cs="Arial" w:eastAsia="Arial" w:hAnsi="Arial"/>
          <w:sz w:val="24"/>
          <w:szCs w:val="24"/>
        </w:rPr>
        <w:t xml:space="preserve">Кроме того в 2024 г. Государственная Ипотечная Компания (далее - ГИК) начнет строительство жилых домов в регионах и областных центрах. В регионах рассчитывается построить 2000 квартир.</w:t>
      </w:r>
    </w:p>
    <w:p>
      <w:pPr>
        <w:spacing w:after="60"/>
        <w:ind w:firstLine="567"/>
        <w:jc w:val="both"/>
      </w:pPr>
      <w:r>
        <w:rPr>
          <w:rFonts w:ascii="Arial" w:cs="Arial" w:eastAsia="Arial" w:hAnsi="Arial"/>
          <w:sz w:val="24"/>
          <w:szCs w:val="24"/>
        </w:rPr>
        <w:t xml:space="preserve">У ГИК есть договоренность с Саудовским фондом развития на 100 млн. долл. США. Освоение начнется в 2024 г. Также есть договоренность с Исламским банком развития о финансировании на 79 млн. долл. США. Эти средства пойдут на строительство жилья в регионах. Кроме этого ГИКу будут выделяться средства из республиканского бюджета на строительство домов во всех регионах республики в сумме 1 млрд. сомов;</w:t>
      </w:r>
    </w:p>
    <w:p>
      <w:pPr>
        <w:spacing w:after="60"/>
        <w:ind w:firstLine="567"/>
        <w:jc w:val="both"/>
      </w:pPr>
      <w:r>
        <w:rPr>
          <w:rFonts w:ascii="Arial" w:cs="Arial" w:eastAsia="Arial" w:hAnsi="Arial"/>
          <w:sz w:val="24"/>
          <w:szCs w:val="24"/>
        </w:rPr>
        <w:t xml:space="preserve">- за счет средств населения в сумме 81,2 млрд. сомов;</w:t>
      </w:r>
    </w:p>
    <w:p>
      <w:pPr>
        <w:spacing w:after="60"/>
        <w:ind w:firstLine="567"/>
        <w:jc w:val="both"/>
      </w:pPr>
      <w:r>
        <w:rPr>
          <w:rFonts w:ascii="Arial" w:cs="Arial" w:eastAsia="Arial" w:hAnsi="Arial"/>
          <w:sz w:val="24"/>
          <w:szCs w:val="24"/>
        </w:rPr>
        <w:t xml:space="preserve">за счет внешних источников финансирования:</w:t>
      </w:r>
    </w:p>
    <w:p>
      <w:pPr>
        <w:spacing w:after="60"/>
        <w:ind w:firstLine="567"/>
        <w:jc w:val="both"/>
      </w:pPr>
      <w:r>
        <w:rPr>
          <w:rFonts w:ascii="Arial" w:cs="Arial" w:eastAsia="Arial" w:hAnsi="Arial"/>
          <w:sz w:val="24"/>
          <w:szCs w:val="24"/>
        </w:rPr>
        <w:t xml:space="preserve">- за счет иностранных кредитов, иностранных грантов и гуманитарной помощи (ожидается в сумме 40,4 млрд. сомов);</w:t>
      </w:r>
    </w:p>
    <w:p>
      <w:pPr>
        <w:spacing w:after="60"/>
        <w:ind w:firstLine="567"/>
        <w:jc w:val="both"/>
      </w:pPr>
      <w:r>
        <w:rPr>
          <w:rFonts w:ascii="Arial" w:cs="Arial" w:eastAsia="Arial" w:hAnsi="Arial"/>
          <w:sz w:val="24"/>
          <w:szCs w:val="24"/>
        </w:rPr>
        <w:t xml:space="preserve">- за счет увеличения объемов прямых иностранных инвестиций до 13,8 млрд. сомов: ОсОО "</w:t>
      </w:r>
      <w:r>
        <w:rPr>
          <w:rFonts w:ascii="Arial" w:cs="Arial" w:eastAsia="Arial" w:hAnsi="Arial"/>
          <w:sz w:val="24"/>
          <w:szCs w:val="24"/>
        </w:rPr>
        <w:t xml:space="preserve">KAZ</w:t>
      </w:r>
      <w:r>
        <w:rPr>
          <w:rFonts w:ascii="Arial" w:cs="Arial" w:eastAsia="Arial" w:hAnsi="Arial"/>
          <w:sz w:val="24"/>
          <w:szCs w:val="24"/>
        </w:rPr>
        <w:t xml:space="preserve"> Minerals Bozymchak" (543,0 млн. сомов); ЗАО "Чаарат Заав" (4977,5 млн. сомов); ОсОО "Альянс Алтын" (2697,0 млн. сомов); ОсОО "Full gold mining" (614,5 млн. сомов); ОсОО "Алтынкен" (7,0 млн. сомов); ОсОО "Газпром Кыргызстан" (930,0 млн. сомов); ОсОО "Эти Бакыр Терексай" (1074,5 млн. сомов) и др.</w:t>
      </w:r>
    </w:p>
    <w:p>
      <w:pPr>
        <w:spacing w:after="60"/>
        <w:ind w:firstLine="567"/>
        <w:jc w:val="both"/>
      </w:pPr>
      <w:r>
        <w:rPr>
          <w:rFonts w:ascii="Arial" w:cs="Arial" w:eastAsia="Arial" w:hAnsi="Arial"/>
          <w:sz w:val="24"/>
          <w:szCs w:val="24"/>
        </w:rPr>
        <w:t xml:space="preserve">В 2024 г. важнейшими направлениями проектов государственных инвестиций останутся развитие транспортной системы, энергетической инфраструктуры, а также водоснабжения.</w:t>
      </w:r>
    </w:p>
    <w:p>
      <w:pPr>
        <w:spacing w:after="60"/>
        <w:ind w:firstLine="567"/>
        <w:jc w:val="both"/>
      </w:pPr>
      <w:r>
        <w:rPr>
          <w:rFonts w:ascii="Arial" w:cs="Arial" w:eastAsia="Arial" w:hAnsi="Arial"/>
          <w:sz w:val="24"/>
          <w:szCs w:val="24"/>
        </w:rPr>
        <w:t xml:space="preserve">Объем бюджета государственных инвестиций составляет 52,3 млрд. сомов, из которых гранты - 16,9 млрд. сомов (32,4%), кредиты - 33,5 млрд. сомов (64,0%) и софинансирование Кабинета Министров Кыргызской Республики - 1,9 млрд. сомов (3,6%). Наибольшие объемы финансирования предусмотрены в секторе транспорта в размере 14,2 млрд. сомов (27,2% всех государственных инвестиций). В энергетической отрасли объемы финансирования предусмотрены в сумме 8,1 млрд. сомов (15,5% всех государственных инвестиций).</w:t>
      </w:r>
    </w:p>
    <w:p>
      <w:pPr>
        <w:spacing w:after="60"/>
        <w:ind w:firstLine="567"/>
        <w:jc w:val="both"/>
      </w:pPr>
      <w:r>
        <w:rPr>
          <w:rFonts w:ascii="Arial" w:cs="Arial" w:eastAsia="Arial" w:hAnsi="Arial"/>
          <w:sz w:val="24"/>
          <w:szCs w:val="24"/>
        </w:rPr>
        <w:t xml:space="preserve">Исходя из планируемых объемов капитализации экономики, реальный рост общего объема валовой продукции строительства в 2024 г. ожидается на уровне 15,7% и составит 241,4 млрд. сомов.</w:t>
      </w:r>
    </w:p>
    <w:p>
      <w:pPr>
        <w:spacing w:after="60"/>
        <w:ind w:firstLine="567"/>
        <w:jc w:val="both"/>
      </w:pPr>
      <w:r>
        <w:rPr>
          <w:rFonts w:ascii="Arial" w:cs="Arial" w:eastAsia="Arial" w:hAnsi="Arial"/>
          <w:sz w:val="24"/>
          <w:szCs w:val="24"/>
        </w:rPr>
        <w:t xml:space="preserve">Влияние строительной отрасли на темпы экономического роста будет положительным и составит 1,1 процентного пункта, удельный вес строительства в структуре производства ВВП - 7,0%.</w:t>
      </w:r>
    </w:p>
    <w:p>
      <w:pPr>
        <w:spacing w:after="60"/>
        <w:ind w:firstLine="567"/>
        <w:jc w:val="both"/>
      </w:pPr>
      <w:r>
        <w:rPr>
          <w:rFonts w:ascii="Arial" w:cs="Arial" w:eastAsia="Arial" w:hAnsi="Arial"/>
          <w:sz w:val="24"/>
          <w:szCs w:val="24"/>
        </w:rPr>
        <w:t xml:space="preserve">В сфере услуг в 2024 г. рост валового объема ожидается на уровне 6,2% за счет роста объемов оптово-розничной торговли на 11,4%, транспортной деятельности и перевозке грузов - на 7,0%, услуг гостиниц и ресторанов - на 18,0%, услуг в сфере информации и связи - на 2,5%.</w:t>
      </w:r>
    </w:p>
    <w:p>
      <w:pPr>
        <w:spacing w:after="60"/>
        <w:ind w:firstLine="567"/>
        <w:jc w:val="both"/>
      </w:pPr>
      <w:r>
        <w:rPr>
          <w:rFonts w:ascii="Arial" w:cs="Arial" w:eastAsia="Arial" w:hAnsi="Arial"/>
          <w:sz w:val="24"/>
          <w:szCs w:val="24"/>
        </w:rPr>
        <w:t xml:space="preserve">Достижению ожидаемых темпов роста в сфере услуг будут способствовать:</w:t>
      </w:r>
    </w:p>
    <w:p>
      <w:pPr>
        <w:spacing w:after="60"/>
        <w:ind w:firstLine="567"/>
        <w:jc w:val="both"/>
      </w:pPr>
      <w:r>
        <w:rPr>
          <w:rFonts w:ascii="Arial" w:cs="Arial" w:eastAsia="Arial" w:hAnsi="Arial"/>
          <w:sz w:val="24"/>
          <w:szCs w:val="24"/>
        </w:rPr>
        <w:t xml:space="preserve">- стабильное увеличение потребительского спроса со стороны населения;</w:t>
      </w:r>
    </w:p>
    <w:p>
      <w:pPr>
        <w:spacing w:after="60"/>
        <w:ind w:firstLine="567"/>
        <w:jc w:val="both"/>
      </w:pPr>
      <w:r>
        <w:rPr>
          <w:rFonts w:ascii="Arial" w:cs="Arial" w:eastAsia="Arial" w:hAnsi="Arial"/>
          <w:sz w:val="24"/>
          <w:szCs w:val="24"/>
        </w:rPr>
        <w:t xml:space="preserve">- улучшение инфраструктуры, в частности дорог, использование более удобного транспорта для перевозки товаров, развитие логистики (склады, торговые центры) приведет к развитию внутренней торговли и будет способствовать увеличению доступности товаров для потребителей;</w:t>
      </w:r>
    </w:p>
    <w:p>
      <w:pPr>
        <w:spacing w:after="60"/>
        <w:ind w:firstLine="567"/>
        <w:jc w:val="both"/>
      </w:pPr>
      <w:r>
        <w:rPr>
          <w:rFonts w:ascii="Arial" w:cs="Arial" w:eastAsia="Arial" w:hAnsi="Arial"/>
          <w:sz w:val="24"/>
          <w:szCs w:val="24"/>
        </w:rPr>
        <w:t xml:space="preserve">- создание благоприятных условий для развития сектора малого и среднего бизнеса способствует разнообразию предложения товаров и услуг на внутреннем рынке;</w:t>
      </w:r>
    </w:p>
    <w:p>
      <w:pPr>
        <w:spacing w:after="60"/>
        <w:ind w:firstLine="567"/>
        <w:jc w:val="both"/>
      </w:pPr>
      <w:r>
        <w:rPr>
          <w:rFonts w:ascii="Arial" w:cs="Arial" w:eastAsia="Arial" w:hAnsi="Arial"/>
          <w:sz w:val="24"/>
          <w:szCs w:val="24"/>
        </w:rPr>
        <w:t xml:space="preserve">- использование новых технологий, как развитие интернет-торговли искусственного интеллекта, блокчейна и других инноваций, помогает улучшить эффективность торговли и удовлетворить потребности клиентов;</w:t>
      </w:r>
    </w:p>
    <w:p>
      <w:pPr>
        <w:spacing w:after="60"/>
        <w:ind w:firstLine="567"/>
        <w:jc w:val="both"/>
      </w:pPr>
      <w:r>
        <w:rPr>
          <w:rFonts w:ascii="Arial" w:cs="Arial" w:eastAsia="Arial" w:hAnsi="Arial"/>
          <w:sz w:val="24"/>
          <w:szCs w:val="24"/>
        </w:rPr>
        <w:t xml:space="preserve">- развитие стратегий маркетинга и улучшение рекламной деятельности;</w:t>
      </w:r>
    </w:p>
    <w:p>
      <w:pPr>
        <w:spacing w:after="60"/>
        <w:ind w:firstLine="567"/>
        <w:jc w:val="both"/>
      </w:pPr>
      <w:r>
        <w:rPr>
          <w:rFonts w:ascii="Arial" w:cs="Arial" w:eastAsia="Arial" w:hAnsi="Arial"/>
          <w:sz w:val="24"/>
          <w:szCs w:val="24"/>
        </w:rPr>
        <w:t xml:space="preserve">- меры социальной поддержки, такие как индексация пенсий и пособий, повышение заработной платы и стабильное поступление денежных переводов;</w:t>
      </w:r>
    </w:p>
    <w:p>
      <w:pPr>
        <w:spacing w:after="60"/>
        <w:ind w:firstLine="567"/>
        <w:jc w:val="both"/>
      </w:pPr>
      <w:r>
        <w:rPr>
          <w:rFonts w:ascii="Arial" w:cs="Arial" w:eastAsia="Arial" w:hAnsi="Arial"/>
          <w:sz w:val="24"/>
          <w:szCs w:val="24"/>
        </w:rPr>
        <w:t xml:space="preserve">- расширение географии проведения туристических ярмарок, открытие новых маршрутов по перевозке пассажиров наземным и воздушным транспортами;</w:t>
      </w:r>
    </w:p>
    <w:p>
      <w:pPr>
        <w:spacing w:after="60"/>
        <w:ind w:firstLine="567"/>
        <w:jc w:val="both"/>
      </w:pPr>
      <w:r>
        <w:rPr>
          <w:rFonts w:ascii="Arial" w:cs="Arial" w:eastAsia="Arial" w:hAnsi="Arial"/>
          <w:sz w:val="24"/>
          <w:szCs w:val="24"/>
        </w:rPr>
        <w:t xml:space="preserve">- снижение доли теневой экономики (результат экономической амнистии, фискализации налоговых процедур и т.д.).</w:t>
      </w:r>
    </w:p>
    <w:p>
      <w:pPr>
        <w:spacing w:after="60"/>
        <w:ind w:firstLine="567"/>
        <w:jc w:val="both"/>
      </w:pPr>
      <w:r>
        <w:rPr>
          <w:rFonts w:ascii="Arial" w:cs="Arial" w:eastAsia="Arial" w:hAnsi="Arial"/>
          <w:sz w:val="24"/>
          <w:szCs w:val="24"/>
        </w:rPr>
        <w:t xml:space="preserve">Положительное влияние сферы услуг на темпы экономического роста будет наибольшим и оценивается на уровне 3,1 процентного пункта, удельный вес в структуре производства ВВП - 50,5%.</w:t>
      </w:r>
    </w:p>
    <w:p>
      <w:pPr>
        <w:spacing w:after="60"/>
        <w:ind w:firstLine="567"/>
        <w:jc w:val="both"/>
      </w:pPr>
      <w:r>
        <w:rPr>
          <w:rFonts w:ascii="Arial" w:cs="Arial" w:eastAsia="Arial" w:hAnsi="Arial"/>
          <w:sz w:val="24"/>
          <w:szCs w:val="24"/>
        </w:rPr>
        <w:t xml:space="preserve">В 2024 г. наблюдается смягчение негативных факторов, оказывающих инфляционное давление, и ожидается, что рост уровня инфляции замедлится и приблизится в пределы целевого ориентира.</w:t>
      </w:r>
    </w:p>
    <w:p>
      <w:pPr>
        <w:spacing w:after="60"/>
        <w:ind w:firstLine="567"/>
        <w:jc w:val="both"/>
      </w:pPr>
      <w:r>
        <w:rPr>
          <w:rFonts w:ascii="Arial" w:cs="Arial" w:eastAsia="Arial" w:hAnsi="Arial"/>
          <w:sz w:val="24"/>
          <w:szCs w:val="24"/>
        </w:rPr>
        <w:t xml:space="preserve">Уровень инфляции будет складываться под влиянием следующих факторов:</w:t>
      </w:r>
    </w:p>
    <w:p>
      <w:pPr>
        <w:spacing w:after="60"/>
        <w:ind w:firstLine="567"/>
        <w:jc w:val="both"/>
      </w:pPr>
      <w:r>
        <w:rPr>
          <w:rFonts w:ascii="Arial" w:cs="Arial" w:eastAsia="Arial" w:hAnsi="Arial"/>
          <w:sz w:val="24"/>
          <w:szCs w:val="24"/>
        </w:rPr>
        <w:t xml:space="preserve">- волатильность мировых цен на товарно-сырьевых рынках и неопределенность развития мировой экономики;</w:t>
      </w:r>
    </w:p>
    <w:p>
      <w:pPr>
        <w:spacing w:after="60"/>
        <w:ind w:firstLine="567"/>
        <w:jc w:val="both"/>
      </w:pPr>
      <w:r>
        <w:rPr>
          <w:rFonts w:ascii="Arial" w:cs="Arial" w:eastAsia="Arial" w:hAnsi="Arial"/>
          <w:sz w:val="24"/>
          <w:szCs w:val="24"/>
        </w:rPr>
        <w:t xml:space="preserve">- волатильность на финансовом рынке, курсов валют и как следствие неопределенность в ценообразовании;</w:t>
      </w:r>
    </w:p>
    <w:p>
      <w:pPr>
        <w:spacing w:after="60"/>
        <w:ind w:firstLine="567"/>
        <w:jc w:val="both"/>
      </w:pPr>
      <w:r>
        <w:rPr>
          <w:rFonts w:ascii="Arial" w:cs="Arial" w:eastAsia="Arial" w:hAnsi="Arial"/>
          <w:sz w:val="24"/>
          <w:szCs w:val="24"/>
        </w:rPr>
        <w:t xml:space="preserve">- влияние низких показателей по производству сельскохозяйственного сектора;</w:t>
      </w:r>
    </w:p>
    <w:p>
      <w:pPr>
        <w:spacing w:after="60"/>
        <w:ind w:firstLine="567"/>
        <w:jc w:val="both"/>
      </w:pPr>
      <w:r>
        <w:rPr>
          <w:rFonts w:ascii="Arial" w:cs="Arial" w:eastAsia="Arial" w:hAnsi="Arial"/>
          <w:sz w:val="24"/>
          <w:szCs w:val="24"/>
        </w:rPr>
        <w:t xml:space="preserve">- увеличение внутреннего спроса за счет увеличения доходов населения;</w:t>
      </w:r>
    </w:p>
    <w:p>
      <w:pPr>
        <w:spacing w:after="60"/>
        <w:ind w:firstLine="567"/>
        <w:jc w:val="both"/>
      </w:pPr>
      <w:r>
        <w:rPr>
          <w:rFonts w:ascii="Arial" w:cs="Arial" w:eastAsia="Arial" w:hAnsi="Arial"/>
          <w:sz w:val="24"/>
          <w:szCs w:val="24"/>
        </w:rPr>
        <w:t xml:space="preserve">- зависимость внутреннего рынка от импорта товаров, сезонные колебания цен на продовольственные товары (фрукты, овощи);</w:t>
      </w:r>
    </w:p>
    <w:p>
      <w:pPr>
        <w:spacing w:after="60"/>
        <w:ind w:firstLine="567"/>
        <w:jc w:val="both"/>
      </w:pPr>
      <w:r>
        <w:rPr>
          <w:rFonts w:ascii="Arial" w:cs="Arial" w:eastAsia="Arial" w:hAnsi="Arial"/>
          <w:sz w:val="24"/>
          <w:szCs w:val="24"/>
        </w:rPr>
        <w:t xml:space="preserve">- риски импортируемой инфляции;</w:t>
      </w:r>
    </w:p>
    <w:p>
      <w:pPr>
        <w:spacing w:after="60"/>
        <w:ind w:firstLine="567"/>
        <w:jc w:val="both"/>
      </w:pPr>
      <w:r>
        <w:rPr>
          <w:rFonts w:ascii="Arial" w:cs="Arial" w:eastAsia="Arial" w:hAnsi="Arial"/>
          <w:sz w:val="24"/>
          <w:szCs w:val="24"/>
        </w:rPr>
        <w:t xml:space="preserve">- инфляционные ожидания населения.</w:t>
      </w:r>
    </w:p>
    <w:p>
      <w:pPr>
        <w:spacing w:after="60"/>
        <w:ind w:firstLine="567"/>
        <w:jc w:val="both"/>
      </w:pPr>
      <w:r>
        <w:rPr>
          <w:rFonts w:ascii="Arial" w:cs="Arial" w:eastAsia="Arial" w:hAnsi="Arial"/>
          <w:sz w:val="24"/>
          <w:szCs w:val="24"/>
        </w:rPr>
        <w:t xml:space="preserve">По оценке МВФ уровень инфляции в Кыргызской Республике продолжит снижаться и к концу 2024 г. рост цен в стране может составить около 8%.</w:t>
      </w:r>
    </w:p>
    <w:p>
      <w:pPr>
        <w:spacing w:after="60"/>
        <w:ind w:firstLine="567"/>
        <w:jc w:val="both"/>
      </w:pPr>
      <w:r>
        <w:rPr>
          <w:rFonts w:ascii="Arial" w:cs="Arial" w:eastAsia="Arial" w:hAnsi="Arial"/>
          <w:sz w:val="24"/>
          <w:szCs w:val="24"/>
        </w:rPr>
        <w:t xml:space="preserve">В случае сохранения влияния негативных факторов на динамику инфляционных процессов и возникновения дополнительных внешних шоков значения могут превысить прогнозируемые значения. Национальный банк Кыргызской Республики на регулярной основе оценивает факторы воздействия на ценовую и финансовую стабильность и, в зависимости от ситуации, будет принимать соответствующие меры денежно-кредитной политики.</w:t>
      </w:r>
    </w:p>
    <w:p>
      <w:pPr>
        <w:spacing w:after="200" w:before="200"/>
        <w:jc w:val="center"/>
      </w:pPr>
      <w:r>
        <w:rPr>
          <w:rFonts w:ascii="Arial" w:cs="Arial" w:eastAsia="Arial" w:hAnsi="Arial"/>
          <w:b/>
          <w:bCs/>
          <w:sz w:val="24"/>
          <w:szCs w:val="24"/>
        </w:rPr>
        <w:t xml:space="preserve">5. Макроэкономический прогноз на 2025 г.</w:t>
      </w:r>
    </w:p>
    <w:p>
      <w:pPr>
        <w:spacing w:after="60" w:before="200"/>
        <w:ind w:firstLine="567"/>
        <w:jc w:val="left"/>
      </w:pPr>
      <w:r>
        <w:rPr>
          <w:rFonts w:ascii="Arial" w:cs="Arial" w:eastAsia="Arial" w:hAnsi="Arial"/>
          <w:b/>
          <w:bCs/>
          <w:sz w:val="24"/>
          <w:szCs w:val="24"/>
        </w:rPr>
        <w:t xml:space="preserve">5.1. Макроэкономическая политика</w:t>
      </w:r>
    </w:p>
    <w:p>
      <w:pPr>
        <w:spacing w:after="60"/>
        <w:ind w:firstLine="567"/>
        <w:jc w:val="both"/>
      </w:pPr>
      <w:r>
        <w:rPr>
          <w:rFonts w:ascii="Arial" w:cs="Arial" w:eastAsia="Arial" w:hAnsi="Arial"/>
          <w:sz w:val="24"/>
          <w:szCs w:val="24"/>
        </w:rPr>
        <w:t xml:space="preserve">Макроэкономическая политика будет направлена на достижение устойчивого экономического роста, улучшение качества жизни, повышение благосостояния населения и на рост доходов населения, обеспечивающий реализацию национальных целей развития.</w:t>
      </w:r>
    </w:p>
    <w:p>
      <w:pPr>
        <w:spacing w:after="60"/>
        <w:ind w:firstLine="567"/>
        <w:jc w:val="both"/>
      </w:pPr>
      <w:r>
        <w:rPr>
          <w:rFonts w:ascii="Arial" w:cs="Arial" w:eastAsia="Arial" w:hAnsi="Arial"/>
          <w:sz w:val="24"/>
          <w:szCs w:val="24"/>
        </w:rPr>
        <w:t xml:space="preserve">Особая значимость формирования эффективной макроэкономической политики в условиях глобализации экономической жизни, "постковидной" экономики и существенно изменившейся и продолжающей меняться внешней среды из-за сложившейся геополитической ситуации, связана с потребностью адекватно реагировать на социальные, экологические, экономические и другие вызовы современности и обеспечивать конкурентоспособность национальной экономики.</w:t>
      </w:r>
    </w:p>
    <w:p>
      <w:pPr>
        <w:spacing w:after="60"/>
        <w:ind w:firstLine="567"/>
        <w:jc w:val="both"/>
      </w:pPr>
      <w:r>
        <w:rPr>
          <w:rFonts w:ascii="Arial" w:cs="Arial" w:eastAsia="Arial" w:hAnsi="Arial"/>
          <w:sz w:val="24"/>
          <w:szCs w:val="24"/>
        </w:rPr>
        <w:t xml:space="preserve">В среднесрочной перспективе мировой экономике придется столкнуться с рядом вызовов, формирующих как ограничения, так и новые возможности для развития.</w:t>
      </w:r>
    </w:p>
    <w:p>
      <w:pPr>
        <w:spacing w:after="60"/>
        <w:ind w:firstLine="567"/>
        <w:jc w:val="both"/>
      </w:pPr>
      <w:r>
        <w:rPr>
          <w:rFonts w:ascii="Arial" w:cs="Arial" w:eastAsia="Arial" w:hAnsi="Arial"/>
          <w:sz w:val="24"/>
          <w:szCs w:val="24"/>
        </w:rPr>
        <w:t xml:space="preserve">Первостепенной задачей Кабинета Министров Кыргызской Республики будет оставаться успешная реализация Национальной стратегии развития Кыргызской Республики на 2018-2040 гг. (</w:t>
      </w:r>
      <w:hyperlink w:history="1" r:id="rIdyxvxaa_pufh2rzikhtciv">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Национальной стратегии развития Кыргызской Республики на 2018-2040 годы" от 31 октября 2018 г. № 221), направленная на укрепление экономики, усиление потенциала и развитие производства, а также улучшение благосостояния населения и своевременная реализация мер по обеспечению макроэкономической стабильности, определенные в Плане мероприятий Кабинета Министров Кыргызской Республики по реализации Национальной программы развития Кыргызской Республики до 2026 г. (</w:t>
      </w:r>
      <w:hyperlink w:history="1" r:id="rIdpy00gemrwye815fon701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Плана мероприятий Кабинета Министров Кыргызской Республики по реализации Национальной программы развития Кыргызской Республики до 2026 года" от 25 декабря 2021 г. № 352).</w:t>
      </w:r>
    </w:p>
    <w:p>
      <w:pPr>
        <w:spacing w:after="60"/>
        <w:ind w:firstLine="567"/>
        <w:jc w:val="both"/>
      </w:pPr>
      <w:r>
        <w:rPr>
          <w:rFonts w:ascii="Arial" w:cs="Arial" w:eastAsia="Arial" w:hAnsi="Arial"/>
          <w:sz w:val="24"/>
          <w:szCs w:val="24"/>
        </w:rPr>
        <w:t xml:space="preserve">Закрепление устойчивых темпов экономического роста для удовлетворения спроса на внутреннем и внешнем рынках, обеспечение экономической безопасности Кыргызской Республики на основе последовательного перехода на инновационный путь развития, повышение эффективности производства и конкурентоспособности продукции являются приоритетными направлениями экономической политики.</w:t>
      </w:r>
    </w:p>
    <w:p>
      <w:pPr>
        <w:spacing w:after="60"/>
        <w:ind w:firstLine="567"/>
        <w:jc w:val="both"/>
      </w:pPr>
      <w:r>
        <w:rPr>
          <w:rFonts w:ascii="Arial" w:cs="Arial" w:eastAsia="Arial" w:hAnsi="Arial"/>
          <w:sz w:val="24"/>
          <w:szCs w:val="24"/>
        </w:rPr>
        <w:t xml:space="preserve">Основными инструментами макроэкономического регулирования будет согласованная бюджетно-налоговая и денежно-кредитная политика.</w:t>
      </w:r>
    </w:p>
    <w:p>
      <w:pPr>
        <w:spacing w:after="60"/>
        <w:ind w:firstLine="567"/>
        <w:jc w:val="both"/>
      </w:pPr>
      <w:r>
        <w:rPr>
          <w:rFonts w:ascii="Arial" w:cs="Arial" w:eastAsia="Arial" w:hAnsi="Arial"/>
          <w:sz w:val="24"/>
          <w:szCs w:val="24"/>
        </w:rPr>
        <w:t xml:space="preserve">Особое внимание будет уделяться полномасштабной цифровизации экономики для обеспечения наполнения доходной части бюджета в среднесрочной перспективе. Цифровизация должна стать драйвером улучшения качества жизни каждого человека, технологического прорыва, роста производительности труда в экономике, повышения эффективности государственного сектора, обеспечения сервисного характера государства.</w:t>
      </w:r>
    </w:p>
    <w:p>
      <w:pPr>
        <w:spacing w:after="60"/>
        <w:ind w:firstLine="567"/>
        <w:jc w:val="both"/>
      </w:pPr>
      <w:r>
        <w:rPr>
          <w:rFonts w:ascii="Arial" w:cs="Arial" w:eastAsia="Arial" w:hAnsi="Arial"/>
          <w:sz w:val="24"/>
          <w:szCs w:val="24"/>
        </w:rPr>
        <w:t xml:space="preserve">Макроэкономическая политика будет направлена на достижение консенсуса между различными участниками экономической деятельности, посредством созданий благоприятной среды, направленной на увеличение реальных доходов населения, рост благосостояния, улучшение качества жизни. С целью достижения такого консенсуса макроэкономическая политика ориентируется на стабильность цен, высокий уровень занятости и, соответственно, рост валового внутреннего продукта и национального дохода.</w:t>
      </w:r>
    </w:p>
    <w:p>
      <w:pPr>
        <w:spacing w:after="60"/>
        <w:ind w:firstLine="567"/>
        <w:jc w:val="both"/>
      </w:pPr>
      <w:r>
        <w:rPr>
          <w:rFonts w:ascii="Arial" w:cs="Arial" w:eastAsia="Arial" w:hAnsi="Arial"/>
          <w:sz w:val="24"/>
          <w:szCs w:val="24"/>
        </w:rPr>
        <w:t xml:space="preserve">Для проведения эффективной макроэкономической политики будет осуществляться мониторинг и контроль для своевременного выявления отклонений от траектории достижения национальных целей развития, анализ их причин и формирование мер по их предотвращению/смягчению последствий.</w:t>
      </w:r>
    </w:p>
    <w:p>
      <w:pPr>
        <w:spacing w:after="60" w:before="200"/>
        <w:ind w:firstLine="567"/>
        <w:jc w:val="left"/>
      </w:pPr>
      <w:r>
        <w:rPr>
          <w:rFonts w:ascii="Arial" w:cs="Arial" w:eastAsia="Arial" w:hAnsi="Arial"/>
          <w:b/>
          <w:bCs/>
          <w:sz w:val="24"/>
          <w:szCs w:val="24"/>
        </w:rPr>
        <w:t xml:space="preserve">5.2. Денежно-кредитная политика</w:t>
      </w:r>
    </w:p>
    <w:p>
      <w:pPr>
        <w:spacing w:after="60"/>
        <w:ind w:firstLine="567"/>
        <w:jc w:val="both"/>
      </w:pPr>
      <w:r>
        <w:rPr>
          <w:rFonts w:ascii="Arial" w:cs="Arial" w:eastAsia="Arial" w:hAnsi="Arial"/>
          <w:sz w:val="24"/>
          <w:szCs w:val="24"/>
        </w:rPr>
        <w:t xml:space="preserve">Денежно-кредитная политика Национального банка Кыргызской Республики, как часть общей экономической политики государства, направлена на обеспечение макроэкономической устойчивости. Национальный банк Кыргызской Республики реализует денежно-кредитную политику в целях обеспечения ценовой стабильности и формирования благоприятной инфляционной среды, как одного из ключевых элементов макроэкономической стабильности для долгосрочного устойчивого экономического развития Кыргызской Республики. Под стабильностью цен понимается такая динамика общего уровня потребительских цен в среднесрочном периоде, которая не оказывает значительного влияния на экономические решения субъектов экономики. Основной целью проведения денежно-кредитной политики Национального банка Кыргызской Республики является достижение и поддержание стабильности цен. Целевым ориентиром денежно-кредитной политики будет удержание уровня инфляции в пределах 5-7% в среднесрочном периоде.</w:t>
      </w:r>
    </w:p>
    <w:p>
      <w:pPr>
        <w:spacing w:after="60"/>
        <w:ind w:firstLine="567"/>
        <w:jc w:val="both"/>
      </w:pPr>
      <w:r>
        <w:rPr>
          <w:rFonts w:ascii="Arial" w:cs="Arial" w:eastAsia="Arial" w:hAnsi="Arial"/>
          <w:sz w:val="24"/>
          <w:szCs w:val="24"/>
        </w:rPr>
        <w:t xml:space="preserve">Для достижения поставленной цели Национальный банк Кыргызской Республики продолжит использовать все имеющиеся в его распоряжении инструменты монетарной политики.</w:t>
      </w:r>
    </w:p>
    <w:p>
      <w:pPr>
        <w:spacing w:after="60"/>
        <w:ind w:firstLine="567"/>
        <w:jc w:val="both"/>
      </w:pPr>
      <w:r>
        <w:rPr>
          <w:rFonts w:ascii="Arial" w:cs="Arial" w:eastAsia="Arial" w:hAnsi="Arial"/>
          <w:sz w:val="24"/>
          <w:szCs w:val="24"/>
        </w:rPr>
        <w:t xml:space="preserve">Учетная ставка Национального банка Кыргызской Республики (ключевая ставка) остается основным инструментом денежно-кредитной политики. Принятие решений по учетной ставке будет основываться на результатах комплексного экономического анализа с использованием широкого модельного аппарата и применением такого подхода, который позволит нивелировать возможные проинфляционные риски.</w:t>
      </w:r>
    </w:p>
    <w:p>
      <w:pPr>
        <w:spacing w:after="60"/>
        <w:ind w:firstLine="567"/>
        <w:jc w:val="both"/>
      </w:pPr>
      <w:r>
        <w:rPr>
          <w:rFonts w:ascii="Arial" w:cs="Arial" w:eastAsia="Arial" w:hAnsi="Arial"/>
          <w:sz w:val="24"/>
          <w:szCs w:val="24"/>
        </w:rPr>
        <w:t xml:space="preserve">Меры по достижению цели денежно-кредитной политики будут тесно взаимосвязаны с задачей Национального банка Кыргызской Республики по дальнейшему развитию межбанковского денежного рынка и должной настройки инструментов денежно-кредитной политики. В этой связи усилия будут сосредоточены на совершенствовании процентного канала трансмиссионного механизма денежно-кредитной политики и усилении монетарных сигналов на экономику.</w:t>
      </w:r>
    </w:p>
    <w:p>
      <w:pPr>
        <w:spacing w:after="60"/>
        <w:ind w:firstLine="567"/>
        <w:jc w:val="both"/>
      </w:pPr>
      <w:r>
        <w:rPr>
          <w:rFonts w:ascii="Arial" w:cs="Arial" w:eastAsia="Arial" w:hAnsi="Arial"/>
          <w:sz w:val="24"/>
          <w:szCs w:val="24"/>
        </w:rPr>
        <w:t xml:space="preserve">Национальный банк Кыргызской Республики продолжит проведение стерилизационных операций по изъятию излишней ликвидности с целью ограничить монетарные факторы инфляции путем проведения операций на открытом рынке, а также придерживается режима плавающего обменного курса, который определяется рыночными механизмами - соотношением спроса и предложения иностранной валюты на внутреннем валютном рынке. С учетом этого действия на валютном рынке будут осуществляться исключительно с целью сглаживания резких колебаний обменного курса.</w:t>
      </w:r>
    </w:p>
    <w:p>
      <w:pPr>
        <w:spacing w:after="60"/>
        <w:ind w:firstLine="567"/>
        <w:jc w:val="both"/>
      </w:pPr>
      <w:r>
        <w:rPr>
          <w:rFonts w:ascii="Arial" w:cs="Arial" w:eastAsia="Arial" w:hAnsi="Arial"/>
          <w:sz w:val="24"/>
          <w:szCs w:val="24"/>
        </w:rPr>
        <w:t xml:space="preserve">Разработка денежно-кредитной политики осуществляется с учетом задачи по поддержанию покупательской способности национальной валюты для содействия долгосрочному экономическому росту.</w:t>
      </w:r>
    </w:p>
    <w:p>
      <w:pPr>
        <w:spacing w:after="60"/>
        <w:ind w:firstLine="567"/>
        <w:jc w:val="both"/>
      </w:pPr>
      <w:r>
        <w:rPr>
          <w:rFonts w:ascii="Arial" w:cs="Arial" w:eastAsia="Arial" w:hAnsi="Arial"/>
          <w:sz w:val="24"/>
          <w:szCs w:val="24"/>
        </w:rPr>
        <w:t xml:space="preserve">Постоянно будет проводиться оценка возможных рисков и последствий влияния внешнеэкономической среды. В случае значительного отклонения экономических показателей от ожидаемой траектории и реализации рисков инфляционного характера Национальный банк Кыргызской Республики рассмотрит необходимость внесения корректировок в проводимую денежно-кредитную политику и предпримет соответствующие меры для смягчения возможных негативных последствий.</w:t>
      </w:r>
    </w:p>
    <w:p>
      <w:pPr>
        <w:spacing w:after="60"/>
        <w:ind w:firstLine="567"/>
        <w:jc w:val="both"/>
      </w:pPr>
      <w:r>
        <w:rPr>
          <w:rFonts w:ascii="Arial" w:cs="Arial" w:eastAsia="Arial" w:hAnsi="Arial"/>
          <w:sz w:val="24"/>
          <w:szCs w:val="24"/>
        </w:rPr>
        <w:t xml:space="preserve">Актуальным направлением останется внедрение лучших международных практик в части расширения спектра банковских услуг, повышения их привлекательности и доступности для населения.</w:t>
      </w:r>
    </w:p>
    <w:p>
      <w:pPr>
        <w:spacing w:after="60"/>
        <w:ind w:firstLine="567"/>
        <w:jc w:val="both"/>
      </w:pPr>
      <w:r>
        <w:rPr>
          <w:rFonts w:ascii="Arial" w:cs="Arial" w:eastAsia="Arial" w:hAnsi="Arial"/>
          <w:sz w:val="24"/>
          <w:szCs w:val="24"/>
        </w:rPr>
        <w:t xml:space="preserve">В целях сохранения стабильности в банковской системе особое внимание будет уделено выявлению и снижению рисков, присущих банковской деятельности, усилению системы управления рисками в коммерческих банках, а также улучшению национальной системы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Будет продолжена работа по гармонизации законодательств государств-членов ЕАЭС в финансовой сфере, развитию механизмов для осуществления коммерческими банками операций по торговому финансированию, повышению эффективности системы защиты депозитов, выработке согласованной политики по продвижению принципов развития зеленой экономики в Кыргызской Республике, развитию цифровизации банковских услуг. Продолжится работа по реализации мероприятий по дальнейшему увеличению доли безналичных платежей и расчетов, расширению платежной инфраструктуры в регионах страны, совершенствованию нормативной правовой базы и развитию цифровых платежных технологий в целях обеспечения эффективности, безопасности и надежности функционирования платежных систем.</w:t>
      </w:r>
    </w:p>
    <w:p>
      <w:pPr>
        <w:spacing w:after="60"/>
        <w:ind w:firstLine="567"/>
        <w:jc w:val="both"/>
      </w:pPr>
      <w:r>
        <w:rPr>
          <w:rFonts w:ascii="Arial" w:cs="Arial" w:eastAsia="Arial" w:hAnsi="Arial"/>
          <w:sz w:val="24"/>
          <w:szCs w:val="24"/>
        </w:rPr>
        <w:t xml:space="preserve">Управление международными резервами будет осуществляться с учетом соблюдения основных принципов поддержания ликвидности и обеспечения безопасности резервных активов.</w:t>
      </w:r>
    </w:p>
    <w:p>
      <w:pPr>
        <w:spacing w:after="60" w:before="200"/>
        <w:ind w:firstLine="567"/>
        <w:jc w:val="left"/>
      </w:pPr>
      <w:r>
        <w:rPr>
          <w:rFonts w:ascii="Arial" w:cs="Arial" w:eastAsia="Arial" w:hAnsi="Arial"/>
          <w:b/>
          <w:bCs/>
          <w:sz w:val="24"/>
          <w:szCs w:val="24"/>
        </w:rPr>
        <w:t xml:space="preserve">5.3. Бюджетно-налоговая политика</w:t>
      </w:r>
    </w:p>
    <w:p>
      <w:pPr>
        <w:spacing w:after="60"/>
        <w:ind w:firstLine="567"/>
        <w:jc w:val="both"/>
      </w:pPr>
      <w:r>
        <w:rPr>
          <w:rFonts w:ascii="Arial" w:cs="Arial" w:eastAsia="Arial" w:hAnsi="Arial"/>
          <w:sz w:val="24"/>
          <w:szCs w:val="24"/>
        </w:rPr>
        <w:t xml:space="preserve">Бюджетно-налоговая политика в среднесрочном периоде будет направлена на обеспечение стабильного экономического роста, стимулирование, поддержку предпринимателей и привлечение инвесторов, а также сохранение устойчивости государственного бюджета.</w:t>
      </w:r>
    </w:p>
    <w:p>
      <w:pPr>
        <w:spacing w:after="60"/>
        <w:ind w:firstLine="567"/>
        <w:jc w:val="both"/>
      </w:pPr>
      <w:r>
        <w:rPr>
          <w:rFonts w:ascii="Arial" w:cs="Arial" w:eastAsia="Arial" w:hAnsi="Arial"/>
          <w:sz w:val="24"/>
          <w:szCs w:val="24"/>
        </w:rPr>
        <w:t xml:space="preserve">Бюджетная политика будет включать в себя такие направления, как усиление управления государственными финансами за счет более точного определения приоритетов, укрепления бюджетной дисциплины, обеспечения эффективного и прозрачного управления государственными финансами путем совершенствования нормативной правовой базы; оптимизация бюджетных средств в государственных и социальных секторах путем усиления эффективности расходов, сокращения затрат и усиления адресности; совершенствование системы межбюджетных отношений; совершенствование управления государственными инвестициями, чтобы в полной мере реализовать потенциальный положительный эффект финансируемых из внешних источников проектов государственных инвестиций.</w:t>
      </w:r>
    </w:p>
    <w:p>
      <w:pPr>
        <w:spacing w:after="60"/>
        <w:ind w:firstLine="567"/>
        <w:jc w:val="both"/>
      </w:pPr>
      <w:r>
        <w:rPr>
          <w:rFonts w:ascii="Arial" w:cs="Arial" w:eastAsia="Arial" w:hAnsi="Arial"/>
          <w:sz w:val="24"/>
          <w:szCs w:val="24"/>
        </w:rPr>
        <w:t xml:space="preserve">Сохранится социальная направленность государственных расходов с выполнением всех социальных обязательств государства перед населением.</w:t>
      </w:r>
    </w:p>
    <w:p>
      <w:pPr>
        <w:spacing w:after="60"/>
        <w:ind w:firstLine="567"/>
        <w:jc w:val="both"/>
      </w:pPr>
      <w:r>
        <w:rPr>
          <w:rFonts w:ascii="Arial" w:cs="Arial" w:eastAsia="Arial" w:hAnsi="Arial"/>
          <w:sz w:val="24"/>
          <w:szCs w:val="24"/>
        </w:rPr>
        <w:t xml:space="preserve">В рамках выполнения социальных обязательств, Кабинет Министров Кыргызской Республики будет продолжать обеспечивать финансирование ключевых сфер, таких как здравоохранение, образование, социальная защита и пенсионные выплаты, чтобы обеспечить благополучие граждан и социальную стабильность.</w:t>
      </w:r>
    </w:p>
    <w:p>
      <w:pPr>
        <w:spacing w:after="60"/>
        <w:ind w:firstLine="567"/>
        <w:jc w:val="both"/>
      </w:pPr>
      <w:r>
        <w:rPr>
          <w:rFonts w:ascii="Arial" w:cs="Arial" w:eastAsia="Arial" w:hAnsi="Arial"/>
          <w:sz w:val="24"/>
          <w:szCs w:val="24"/>
        </w:rPr>
        <w:t xml:space="preserve">Реализация основных направлений бюджетной политики, отраженных в Стратегии развития управления государственными финансами на 2017-2025 гг. (</w:t>
      </w:r>
      <w:hyperlink w:history="1" r:id="rIdek9jx-qinvl1tgjqjaic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jf9ge6yjo4d63bdky5fa">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развития управления государственными финансами в Кыргызской Республике на 2017-2025 годы" от 22 декабря 2016 г. № 696), позволит улучшить прогнозирование, формирование и исполнение государственного бюджета, добиться повышения бюджетной прозрачности, полноты, достоверности бюджетной информации. Особое внимание будет уделено повышению контроля доходов и расходов бюджета для достижения баланса и определения будущих объемов ресурсов, с целью прогнозирования предстоящих расходов в целом и по каждой отрасли.</w:t>
      </w:r>
    </w:p>
    <w:p>
      <w:pPr>
        <w:spacing w:after="60"/>
        <w:ind w:firstLine="567"/>
        <w:jc w:val="both"/>
      </w:pPr>
      <w:r>
        <w:rPr>
          <w:rFonts w:ascii="Arial" w:cs="Arial" w:eastAsia="Arial" w:hAnsi="Arial"/>
          <w:sz w:val="24"/>
          <w:szCs w:val="24"/>
        </w:rPr>
        <w:t xml:space="preserve">Основными направлениями налоговой политики на среднесрочный период являются совершенствование налогового законодательства, позволяющее налогоплательщику с наименьшими временными и трудовыми затратами исполнять свои обязательства, а должностным лицам уполномоченных государственных органов осуществлять эффективное администрирование; продолжение работы по поддержке темпов экономического роста, совершенствованию качества управления доходной части бюджета Кыргызской Республики; совершенствование социальной и регулирующей функций налогов.</w:t>
      </w:r>
    </w:p>
    <w:p>
      <w:pPr>
        <w:spacing w:after="60"/>
        <w:ind w:firstLine="567"/>
        <w:jc w:val="both"/>
      </w:pPr>
      <w:r>
        <w:rPr>
          <w:rFonts w:ascii="Arial" w:cs="Arial" w:eastAsia="Arial" w:hAnsi="Arial"/>
          <w:sz w:val="24"/>
          <w:szCs w:val="24"/>
        </w:rPr>
        <w:t xml:space="preserve">Совершенствование налогового законодательства включает:</w:t>
      </w:r>
    </w:p>
    <w:p>
      <w:pPr>
        <w:spacing w:after="60"/>
        <w:ind w:firstLine="567"/>
        <w:jc w:val="both"/>
      </w:pPr>
      <w:r>
        <w:rPr>
          <w:rFonts w:ascii="Arial" w:cs="Arial" w:eastAsia="Arial" w:hAnsi="Arial"/>
          <w:sz w:val="24"/>
          <w:szCs w:val="24"/>
        </w:rPr>
        <w:t xml:space="preserve">- создание необходимых условий для соблюдения налогоплательщиками налогового законодательства, предусматривающее расширение и упрощение электронных сервисов/индивидуальных услуг для налогоплательщиков, создание соответствующего профиля налогоплательщика, который позволит сократить временные затраты, а также создаст благоприятные условия для исполнения налоговых обязательств налогоплательщиками;</w:t>
      </w:r>
    </w:p>
    <w:p>
      <w:pPr>
        <w:spacing w:after="60"/>
        <w:ind w:firstLine="567"/>
        <w:jc w:val="both"/>
      </w:pPr>
      <w:r>
        <w:rPr>
          <w:rFonts w:ascii="Arial" w:cs="Arial" w:eastAsia="Arial" w:hAnsi="Arial"/>
          <w:sz w:val="24"/>
          <w:szCs w:val="24"/>
        </w:rPr>
        <w:t xml:space="preserve">- внедрение возможности риск-ориентированного подхода во всех сферах налогового контроля, а также возможность проведения бесконтактных (дистанционных) форм налоговых проверок налогоплательщиков. Внедрение дистанционного контроля предполагает применение электронных технологий, позволяющие расширенное информационное взаимодействие путем организации доступа налоговым органам к информационным системам налогоплательщиков в режиме реального времени и перехода на качественно новый уровень обработки документов (информации) который должен стать приоритетным направлением развития системы дистанционного контроля, что позволит обеспечить добровольное, правильное и своевременное исчисление и уплату (перечисление) налогов, сборов и страховых взносов в бюджет;</w:t>
      </w:r>
    </w:p>
    <w:p>
      <w:pPr>
        <w:spacing w:after="60"/>
        <w:ind w:firstLine="567"/>
        <w:jc w:val="both"/>
      </w:pPr>
      <w:r>
        <w:rPr>
          <w:rFonts w:ascii="Arial" w:cs="Arial" w:eastAsia="Arial" w:hAnsi="Arial"/>
          <w:sz w:val="24"/>
          <w:szCs w:val="24"/>
        </w:rPr>
        <w:t xml:space="preserve">- увеличение аналитических возможностей налоговой службы в сфере налогового администрирования с использованием электронных методов налогового контроля, априори позволяющее выявить любые нарушения налогового законодательства, что способствует сокращению уровня теневой экономики и увеличению доходной части государственного бюджета;</w:t>
      </w:r>
    </w:p>
    <w:p>
      <w:pPr>
        <w:spacing w:after="60"/>
        <w:ind w:firstLine="567"/>
        <w:jc w:val="both"/>
      </w:pPr>
      <w:r>
        <w:rPr>
          <w:rFonts w:ascii="Arial" w:cs="Arial" w:eastAsia="Arial" w:hAnsi="Arial"/>
          <w:sz w:val="24"/>
          <w:szCs w:val="24"/>
        </w:rPr>
        <w:t xml:space="preserve">- фискализация налоговых процедур путем полномасштабного внедрения электронных товарно-транспортных накладных и других сервисов;</w:t>
      </w:r>
    </w:p>
    <w:p>
      <w:pPr>
        <w:spacing w:after="60"/>
        <w:ind w:firstLine="567"/>
        <w:jc w:val="both"/>
      </w:pPr>
      <w:r>
        <w:rPr>
          <w:rFonts w:ascii="Arial" w:cs="Arial" w:eastAsia="Arial" w:hAnsi="Arial"/>
          <w:sz w:val="24"/>
          <w:szCs w:val="24"/>
        </w:rPr>
        <w:t xml:space="preserve">- оптимизации информационной системы электронных счетов фактур и маркировки товаров средствами идентификации.</w:t>
      </w:r>
    </w:p>
    <w:p>
      <w:pPr>
        <w:spacing w:after="60"/>
        <w:ind w:firstLine="567"/>
        <w:jc w:val="both"/>
      </w:pPr>
      <w:r>
        <w:rPr>
          <w:rFonts w:ascii="Arial" w:cs="Arial" w:eastAsia="Arial" w:hAnsi="Arial"/>
          <w:sz w:val="24"/>
          <w:szCs w:val="24"/>
        </w:rPr>
        <w:t xml:space="preserve">В целом в налоговой политике акцент сохранится на повышении эффективности стимулирующей функции налоговой системы и улучшении качества администрирования с сопутствующим облегчением административной нагрузки для налогоплательщиков и повышением собираемости налогов.</w:t>
      </w:r>
    </w:p>
    <w:p>
      <w:pPr>
        <w:spacing w:after="60"/>
        <w:ind w:firstLine="567"/>
        <w:jc w:val="both"/>
      </w:pPr>
      <w:r>
        <w:rPr>
          <w:rFonts w:ascii="Arial" w:cs="Arial" w:eastAsia="Arial" w:hAnsi="Arial"/>
          <w:sz w:val="24"/>
          <w:szCs w:val="24"/>
        </w:rPr>
        <w:t xml:space="preserve">Обслуживание государственного долга Кыргызской Республики будет проводиться своевременно и в полном объеме. Кабинет Министров Кыргызской Республики продолжит работу по реструктуризации и/или сокращению внешнего долга Кыргызской Республики в рамках доступных механизмов, включая операции по конверсии долга, как в многостороннем, так и двустороннем форматах.</w:t>
      </w:r>
    </w:p>
    <w:p>
      <w:pPr>
        <w:spacing w:after="60"/>
        <w:ind w:firstLine="567"/>
        <w:jc w:val="both"/>
      </w:pPr>
      <w:r>
        <w:rPr>
          <w:rFonts w:ascii="Arial" w:cs="Arial" w:eastAsia="Arial" w:hAnsi="Arial"/>
          <w:sz w:val="24"/>
          <w:szCs w:val="24"/>
        </w:rPr>
        <w:t xml:space="preserve">В целях сохранения устойчивости государственного долга Кыргызской Республики Кабинет Министров Кыргызской Республики будет регулярно контролировать размер, структуру и риски по государственному долгу и обеспечивать дальнейшее совершенствование всех бюджетных индикаторов устойчивости и индикаторов устойчивости государственного долга в соответствии с установленными международными нормами. Важно отметить, что основная часть выплаты по государственному долгу приходится на ближайшие годы. В связи с этим значительные расходы будут направлены на выплату основного долга, что будет одним из приоритетов в бюджетной политике.</w:t>
      </w:r>
    </w:p>
    <w:p>
      <w:pPr>
        <w:spacing w:after="60" w:before="200"/>
        <w:ind w:firstLine="567"/>
        <w:jc w:val="left"/>
      </w:pPr>
      <w:r>
        <w:rPr>
          <w:rFonts w:ascii="Arial" w:cs="Arial" w:eastAsia="Arial" w:hAnsi="Arial"/>
          <w:b/>
          <w:bCs/>
          <w:sz w:val="24"/>
          <w:szCs w:val="24"/>
        </w:rPr>
        <w:t xml:space="preserve">5.4. Инвестиционная политика и политика в области развития предпринимательства</w:t>
      </w:r>
    </w:p>
    <w:p>
      <w:pPr>
        <w:spacing w:after="60"/>
        <w:ind w:firstLine="567"/>
        <w:jc w:val="both"/>
      </w:pPr>
      <w:r>
        <w:rPr>
          <w:rFonts w:ascii="Arial" w:cs="Arial" w:eastAsia="Arial" w:hAnsi="Arial"/>
          <w:sz w:val="24"/>
          <w:szCs w:val="24"/>
        </w:rPr>
        <w:t xml:space="preserve">Достижению устойчивых темпов экономического роста будет способствовать обеспечение высокого уровня инвестиций. Привлечение инвестиций в экономику республики является одним из приоритетных направлений экономической политики Кыргызской Республики.</w:t>
      </w:r>
    </w:p>
    <w:p>
      <w:pPr>
        <w:spacing w:after="60"/>
        <w:ind w:firstLine="567"/>
        <w:jc w:val="both"/>
      </w:pPr>
      <w:r>
        <w:rPr>
          <w:rFonts w:ascii="Arial" w:cs="Arial" w:eastAsia="Arial" w:hAnsi="Arial"/>
          <w:sz w:val="24"/>
          <w:szCs w:val="24"/>
        </w:rPr>
        <w:t xml:space="preserve">Основной целью инвестиционной политики является повышение привлекательности инвестиционного климата в Кыргызской Республике, включая обеспечение защиты собственности и инвестиций при реализации инвестиционных проектов.</w:t>
      </w:r>
    </w:p>
    <w:p>
      <w:pPr>
        <w:spacing w:after="60"/>
        <w:ind w:firstLine="567"/>
        <w:jc w:val="both"/>
      </w:pPr>
      <w:r>
        <w:rPr>
          <w:rFonts w:ascii="Arial" w:cs="Arial" w:eastAsia="Arial" w:hAnsi="Arial"/>
          <w:sz w:val="24"/>
          <w:szCs w:val="24"/>
        </w:rPr>
        <w:t xml:space="preserve">Инвестиции будут привлекаться за счет проектов государственно-частного партнерства, внутренних инвестиций, прямых иностранных инвестиций, а также средств партнеров по развитию.</w:t>
      </w:r>
    </w:p>
    <w:p>
      <w:pPr>
        <w:spacing w:after="60"/>
        <w:ind w:firstLine="567"/>
        <w:jc w:val="both"/>
      </w:pPr>
      <w:r>
        <w:rPr>
          <w:rFonts w:ascii="Arial" w:cs="Arial" w:eastAsia="Arial" w:hAnsi="Arial"/>
          <w:sz w:val="24"/>
          <w:szCs w:val="24"/>
        </w:rPr>
        <w:t xml:space="preserve">Основные направления привлечения инвестиций определены в Программе по привлечению инвестиций в Кыргызскую Республику на 2022-2026 гг. (</w:t>
      </w:r>
      <w:hyperlink w:history="1" r:id="rIdnrwgr8buzgxgvts-m7zf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gkh-qxulypgbvetl3ptoe">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по привлечению инвестиций в Кыргызскую Республику на 2022-2026 годы" от 30 июня 2022 г. № 352).</w:t>
      </w:r>
    </w:p>
    <w:p>
      <w:pPr>
        <w:spacing w:after="60"/>
        <w:ind w:firstLine="567"/>
        <w:jc w:val="both"/>
      </w:pPr>
      <w:r>
        <w:rPr>
          <w:rFonts w:ascii="Arial" w:cs="Arial" w:eastAsia="Arial" w:hAnsi="Arial"/>
          <w:sz w:val="24"/>
          <w:szCs w:val="24"/>
        </w:rPr>
        <w:t xml:space="preserve">В повышении инвестиционной привлекательности основное внимание будет уделено предоставлению гарантий безопасности для инвестиций, стабильности режима, простоты регулирования и применения механизмов государственно-частного регулирования.</w:t>
      </w:r>
    </w:p>
    <w:p>
      <w:pPr>
        <w:spacing w:after="60"/>
        <w:ind w:firstLine="567"/>
        <w:jc w:val="both"/>
      </w:pPr>
      <w:r>
        <w:rPr>
          <w:rFonts w:ascii="Arial" w:cs="Arial" w:eastAsia="Arial" w:hAnsi="Arial"/>
          <w:sz w:val="24"/>
          <w:szCs w:val="24"/>
        </w:rPr>
        <w:t xml:space="preserve">Основным направлением будет укрепление и развитие Государственно-частного партнерства (далее - ГЧП) в стране для развития инфраструктуры путем объединения ресурсов и опыта государственного и частного секторов для эффективной и правильной реализации экономически и социально значимых, фискально-устойчивых проектов. Данное направление будет реализовываться в рамках Программы развития государственно-частного партнерства в Кыргызской Республике на 2022-2026 гг. (</w:t>
      </w:r>
      <w:hyperlink w:history="1" r:id="rId-aq4jqj---dcomwqcr4a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3aqskxlcg_nkcrkiomp7i">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государственно-частного партнерства в Кыргызской Республике на 2022-2026 годы" от 30 июня 2022 г. № 353).</w:t>
      </w:r>
    </w:p>
    <w:p>
      <w:pPr>
        <w:spacing w:after="60"/>
        <w:ind w:firstLine="567"/>
        <w:jc w:val="both"/>
      </w:pPr>
      <w:r>
        <w:rPr>
          <w:rFonts w:ascii="Arial" w:cs="Arial" w:eastAsia="Arial" w:hAnsi="Arial"/>
          <w:sz w:val="24"/>
          <w:szCs w:val="24"/>
        </w:rPr>
        <w:t xml:space="preserve">Мобилизованные финансовые ресурсы в Стабилизационном фонде будут направлены для дальнейшего финансирования мероприятий по поддержке экономики в целях реализации государственных экономических программ; создания, увеличения, обновления, модернизации основных фондов; обеспечения бюджетной устойчивости, своевременного финансирования приоритетных расходных обязательств (</w:t>
      </w:r>
      <w:hyperlink w:history="1" r:id="rIdoxym6rv4k0phli4s-fhnz">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w:t>
      </w:r>
      <w:hyperlink w:history="1" r:id="rIdw_5hlvikaudzdltprjznp">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формирования и использования Стабилизационного фонда Кыргызской Республики" от 4 марта 2022 г. № 70).</w:t>
      </w:r>
    </w:p>
    <w:p>
      <w:pPr>
        <w:spacing w:after="60"/>
        <w:ind w:firstLine="567"/>
        <w:jc w:val="both"/>
      </w:pPr>
      <w:r>
        <w:rPr>
          <w:rFonts w:ascii="Arial" w:cs="Arial" w:eastAsia="Arial" w:hAnsi="Arial"/>
          <w:sz w:val="24"/>
          <w:szCs w:val="24"/>
        </w:rPr>
        <w:t xml:space="preserve">Продолжится работа по повышению инвестиционной привлекательности и потенциала регионов страны, в том числе с учетом реализации </w:t>
      </w:r>
      <w:hyperlink w:history="1" r:id="rIdyyrwlheoa2vv4nu5dhjn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Баткенской области", инвесторы получат все необходимые гарантии в рамках деятельности по инвестированию регионов.</w:t>
      </w:r>
    </w:p>
    <w:p>
      <w:pPr>
        <w:spacing w:after="60"/>
        <w:ind w:firstLine="567"/>
        <w:jc w:val="both"/>
      </w:pPr>
      <w:r>
        <w:rPr>
          <w:rFonts w:ascii="Arial" w:cs="Arial" w:eastAsia="Arial" w:hAnsi="Arial"/>
          <w:sz w:val="24"/>
          <w:szCs w:val="24"/>
        </w:rPr>
        <w:t xml:space="preserve">Основным направлением фондов развития регионов, утвержденным </w:t>
      </w:r>
      <w:hyperlink w:history="1" r:id="rIdw2gze4f1ozflvnqa_lz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zlhglo2jhu3bxrgwwrwmn">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 Фондах развития регионов" от 16 января 2023 г. № 20, будет реализация программ социально-экономического развития областей, районов, городов и айылных аймаков, поддержка инициатив местного сообщества, органов местного самоуправления, государственных органов и финансирование экономических проектов субъектов предпринимательства, направленных на повышение уровня жизни граждан, создание условий для регионального экономического развития путем улучшения инфраструктуры территорий, повышения качества оказываемых услуг и создания рабочих мест в регионах.</w:t>
      </w:r>
    </w:p>
    <w:p>
      <w:pPr>
        <w:spacing w:after="60"/>
        <w:ind w:firstLine="567"/>
        <w:jc w:val="both"/>
      </w:pPr>
      <w:r>
        <w:rPr>
          <w:rFonts w:ascii="Arial" w:cs="Arial" w:eastAsia="Arial" w:hAnsi="Arial"/>
          <w:sz w:val="24"/>
          <w:szCs w:val="24"/>
        </w:rPr>
        <w:t xml:space="preserve">Будут вестись работы по активизации деятельности инвестиционных фондов - Российско-Кыргызского Фонда развития, Узбекско-Кыргызского Фонда развития, Венгерско-Кыргызского Фонда развития, Азербайджано-Кыргызского Фонда развития, Инвестиционного фонда Организации тюркских государств (далее - ОТГ), которые являются эффективной площадкой для привлечения инвестиций и реализации инвестиционных проектов, и способствуют созданию совместных производств и предприятий.</w:t>
      </w:r>
    </w:p>
    <w:p>
      <w:pPr>
        <w:spacing w:after="60"/>
        <w:ind w:firstLine="567"/>
        <w:jc w:val="both"/>
      </w:pPr>
      <w:r>
        <w:rPr>
          <w:rFonts w:ascii="Arial" w:cs="Arial" w:eastAsia="Arial" w:hAnsi="Arial"/>
          <w:sz w:val="24"/>
          <w:szCs w:val="24"/>
        </w:rPr>
        <w:t xml:space="preserve">Деятельность указанных фондов, в условиях повышенного спроса на "длинные" финансовые ресурсы, будет представлять собой хорошую ресурсную базу для финансирования приоритетных бизнес проектов в нашей республике. Кроме того функционирование указанных фондов позволит укрепить торгово-экономические отношения, создать условия для наращивания потенциала экономического сотрудничества между странами-партнерами, а также окажет мультипликативный эффект для стимулирования притока частных инвестиций в Кыргызскую Республику из указанных стран-партнеров.</w:t>
      </w:r>
    </w:p>
    <w:p>
      <w:pPr>
        <w:spacing w:after="60"/>
        <w:ind w:firstLine="567"/>
        <w:jc w:val="both"/>
      </w:pPr>
      <w:r>
        <w:rPr>
          <w:rFonts w:ascii="Arial" w:cs="Arial" w:eastAsia="Arial" w:hAnsi="Arial"/>
          <w:sz w:val="24"/>
          <w:szCs w:val="24"/>
        </w:rPr>
        <w:t xml:space="preserve">Продолжится активная работа по сопровождению и обеспечению безопасности инвесторов согласно </w:t>
      </w:r>
      <w:hyperlink w:history="1" r:id="rIdvpqotw-2zxhsdyfedprl2">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 "О </w:t>
      </w:r>
      <w:hyperlink w:history="1" r:id="rId49k_rdxw-wwgye1fhp22p">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рассмотрения жалоб инвесторов и их сопровождения" от 28 января 2022 г. № 32.</w:t>
      </w:r>
    </w:p>
    <w:p>
      <w:pPr>
        <w:spacing w:after="60"/>
        <w:ind w:firstLine="567"/>
        <w:jc w:val="both"/>
      </w:pPr>
      <w:r>
        <w:rPr>
          <w:rFonts w:ascii="Arial" w:cs="Arial" w:eastAsia="Arial" w:hAnsi="Arial"/>
          <w:sz w:val="24"/>
          <w:szCs w:val="24"/>
        </w:rPr>
        <w:t xml:space="preserve">Учитывая происходящие геополитические изменения, будут созданы условия для создания цепочек добавленной стоимости, решения вопросов импортозамещения, развития приоритетных секторов с высоким экспортным потенциалом.</w:t>
      </w:r>
    </w:p>
    <w:p>
      <w:pPr>
        <w:spacing w:after="60"/>
        <w:ind w:firstLine="567"/>
        <w:jc w:val="both"/>
      </w:pPr>
      <w:r>
        <w:rPr>
          <w:rFonts w:ascii="Arial" w:cs="Arial" w:eastAsia="Arial" w:hAnsi="Arial"/>
          <w:sz w:val="24"/>
          <w:szCs w:val="24"/>
        </w:rPr>
        <w:t xml:space="preserve">Также в целях повышения инвестиционного потенциала республики, привлечения инвестиций в приоритетные сферы и отрасли экономики, обеспечения взаимоувязанности процесса инвестирования с производством конкурентоспособной экспортоориентированной продукции разработана Программа развития свободных экономических зон Кыргызской Республики до 2030 г. в соответствии с целями и задачами, определенными </w:t>
      </w:r>
      <w:hyperlink w:history="1" r:id="rIdcdanmazlrvgeby_yxvyjs">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совершенствованию системы управления в сфере инвестиций и повышения инвестиционного потенциала Кыргызской Республики" от 10 марта 2022 г. № 75.</w:t>
      </w:r>
    </w:p>
    <w:p>
      <w:pPr>
        <w:spacing w:after="60"/>
        <w:ind w:firstLine="567"/>
        <w:jc w:val="both"/>
      </w:pPr>
      <w:r>
        <w:rPr>
          <w:rFonts w:ascii="Arial" w:cs="Arial" w:eastAsia="Arial" w:hAnsi="Arial"/>
          <w:sz w:val="24"/>
          <w:szCs w:val="24"/>
        </w:rPr>
        <w:t xml:space="preserve">Целями указанной Программы являются увеличение объемов экспорта, стимулирование импортозамещения и активизация процессов индустриализации. Для реализации данных целей предусматривается привлечение иностранных инвестиций в экономические зоны Кыргызской Республики и поддержка включения местных производителей в глобальные цепочки создания добавленной стоимости.</w:t>
      </w:r>
    </w:p>
    <w:p>
      <w:pPr>
        <w:spacing w:after="60"/>
        <w:ind w:firstLine="567"/>
        <w:jc w:val="both"/>
      </w:pPr>
      <w:r>
        <w:rPr>
          <w:rFonts w:ascii="Arial" w:cs="Arial" w:eastAsia="Arial" w:hAnsi="Arial"/>
          <w:sz w:val="24"/>
          <w:szCs w:val="24"/>
        </w:rPr>
        <w:t xml:space="preserve">Кроме того разработана Стратегия развития инвестиционной политики на период с 2024 по 2029 гг., где акцент направлен на развитие ключевых секторов экономики, таких как сельское хозяйство, энергетика и возобновляемые источники энергии, промышленность, туризм, горнодобывающая отрасль, IT, инновации и модернизация инфраструктуры. Стратегия предусматривает комплекс мер, направленных на улучшение инвестиционного климата страны, среди которых - обеспечение правовой защиты и равных условий для всех инвесторов, гарантия отсутствия дискриминации, прозрачность процессов принятия инвестиционных решений и защита прав инвесторов.</w:t>
      </w:r>
    </w:p>
    <w:p>
      <w:pPr>
        <w:spacing w:after="60"/>
        <w:ind w:firstLine="567"/>
        <w:jc w:val="both"/>
      </w:pPr>
      <w:r>
        <w:rPr>
          <w:rFonts w:ascii="Arial" w:cs="Arial" w:eastAsia="Arial" w:hAnsi="Arial"/>
          <w:sz w:val="24"/>
          <w:szCs w:val="24"/>
        </w:rPr>
        <w:t xml:space="preserve">Политика по развитию малого и среднего предпринимательства будет проводиться в рамках реализации указов Президента Кыргызской Республики "О защите собственности и поддержке предпринимателей и инвесторов" от </w:t>
      </w:r>
      <w:hyperlink w:history="1" r:id="rIdtpts5-cd1c4f5wstwtzcw">
        <w:r>
          <w:rPr>
            <w:rFonts w:ascii="Arial" w:cs="Arial" w:eastAsia="Arial" w:hAnsi="Arial"/>
            <w:color w:val="1D4ED8"/>
            <w:sz w:val="24"/>
            <w:szCs w:val="24"/>
            <w:u w:val="single"/>
          </w:rPr>
          <w:t xml:space="preserve">29 января 2021 г. № 3</w:t>
        </w:r>
      </w:hyperlink>
      <w:r>
        <w:rPr>
          <w:rFonts w:ascii="Arial" w:cs="Arial" w:eastAsia="Arial" w:hAnsi="Arial"/>
          <w:sz w:val="24"/>
          <w:szCs w:val="24"/>
        </w:rPr>
        <w:t xml:space="preserve">, "О повышении статуса и имиджа предпринимателей Кыргызской Республики" от </w:t>
      </w:r>
      <w:hyperlink w:history="1" r:id="rId3bhdrtwoeayyygfjtoo4b">
        <w:r>
          <w:rPr>
            <w:rFonts w:ascii="Arial" w:cs="Arial" w:eastAsia="Arial" w:hAnsi="Arial"/>
            <w:color w:val="1D4ED8"/>
            <w:sz w:val="24"/>
            <w:szCs w:val="24"/>
            <w:u w:val="single"/>
          </w:rPr>
          <w:t xml:space="preserve">1 июля 2022 г. № 212</w:t>
        </w:r>
      </w:hyperlink>
      <w:r>
        <w:rPr>
          <w:rFonts w:ascii="Arial" w:cs="Arial" w:eastAsia="Arial" w:hAnsi="Arial"/>
          <w:sz w:val="24"/>
          <w:szCs w:val="24"/>
        </w:rPr>
        <w:t xml:space="preserve">, направленных на обеспечение конституционных гарантий защиты собственности, стимулирование устойчивого роста экономики, исключение необоснованного вмешательства государства в экономическую деятельность субъектов предпринимательства, а также повышение доверия инвесторов, создание благоприятного инвестиционного климата и деловой среды.</w:t>
      </w:r>
    </w:p>
    <w:p>
      <w:pPr>
        <w:spacing w:after="60"/>
        <w:ind w:firstLine="567"/>
        <w:jc w:val="both"/>
      </w:pPr>
      <w:r>
        <w:rPr>
          <w:rFonts w:ascii="Arial" w:cs="Arial" w:eastAsia="Arial" w:hAnsi="Arial"/>
          <w:sz w:val="24"/>
          <w:szCs w:val="24"/>
        </w:rPr>
        <w:t xml:space="preserve">В целях придания дополнительного импульса развитию предпринимательства принята Программа развития бизнеса Кыргызской Республики до 2026 г. (</w:t>
      </w:r>
      <w:hyperlink w:history="1" r:id="rIda8njx7gp7twzfeis9odn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cerv2fh49mauvksunosm5">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бизнеса Кыргызской Республики до 2026 года" от 22 февраля 2023 г. № 94) и План мероприятий по ее реализации, предусматривающий ряд мероприятий по сокращению регулятивных функций государства, налоговых проверок, упрощению налогового администрирования, цифровизации таможенных инфраструктур, повышению статуса предпринимателей путем формирования Реестра добросовестных предпринимателей, осуществляющих значительный вклад в социально-экономическое развитие страны, предоставлению добросовестным предпринимателям, применяющим зеленые технологии, льготных кредитных ресурсов, защите прав и интересов предпринимателей Кыргызской Республики через усиление роли бизнес-ассоциаций в государственно-частном диалоге либерализации регулятивной политики путем наделения бизнеса функциями саморегулирования (передача некоторых государственных и муниципальных контрольных и надзорных функций за деятельностью субъектов предпринимательства).</w:t>
      </w:r>
    </w:p>
    <w:p>
      <w:pPr>
        <w:spacing w:after="60" w:before="200"/>
        <w:ind w:firstLine="567"/>
        <w:jc w:val="left"/>
      </w:pPr>
      <w:r>
        <w:rPr>
          <w:rFonts w:ascii="Arial" w:cs="Arial" w:eastAsia="Arial" w:hAnsi="Arial"/>
          <w:b/>
          <w:bCs/>
          <w:sz w:val="24"/>
          <w:szCs w:val="24"/>
        </w:rPr>
        <w:t xml:space="preserve">5.5. Инновационная политика</w:t>
      </w:r>
    </w:p>
    <w:p>
      <w:pPr>
        <w:spacing w:after="60"/>
        <w:ind w:firstLine="567"/>
        <w:jc w:val="both"/>
      </w:pPr>
      <w:r>
        <w:rPr>
          <w:rFonts w:ascii="Arial" w:cs="Arial" w:eastAsia="Arial" w:hAnsi="Arial"/>
          <w:sz w:val="24"/>
          <w:szCs w:val="24"/>
        </w:rPr>
        <w:t xml:space="preserve">Государственная инновационная политика будет направлена на создание благоприятного экономического климата для осуществления инновационных процессов.</w:t>
      </w:r>
    </w:p>
    <w:p>
      <w:pPr>
        <w:spacing w:after="60"/>
        <w:ind w:firstLine="567"/>
        <w:jc w:val="both"/>
      </w:pPr>
      <w:r>
        <w:rPr>
          <w:rFonts w:ascii="Arial" w:cs="Arial" w:eastAsia="Arial" w:hAnsi="Arial"/>
          <w:sz w:val="24"/>
          <w:szCs w:val="24"/>
        </w:rPr>
        <w:t xml:space="preserve">Для функционирования рынка интеллектуальной собственности в среднесрочной перспективе будут создаваться условия, направленные на наращивание потенциала по созданию интеллектуальной собственности, совершенствование механизмов получения прав и защиты, и создание условий для использования объектов интеллектуальной собственности.</w:t>
      </w:r>
    </w:p>
    <w:p>
      <w:pPr>
        <w:spacing w:after="60"/>
        <w:ind w:firstLine="567"/>
        <w:jc w:val="both"/>
      </w:pPr>
      <w:r>
        <w:rPr>
          <w:rFonts w:ascii="Arial" w:cs="Arial" w:eastAsia="Arial" w:hAnsi="Arial"/>
          <w:sz w:val="24"/>
          <w:szCs w:val="24"/>
        </w:rPr>
        <w:t xml:space="preserve">Будет реализовываться политика по:</w:t>
      </w:r>
    </w:p>
    <w:p>
      <w:pPr>
        <w:spacing w:after="60"/>
        <w:ind w:firstLine="567"/>
        <w:jc w:val="both"/>
      </w:pPr>
      <w:r>
        <w:rPr>
          <w:rFonts w:ascii="Arial" w:cs="Arial" w:eastAsia="Arial" w:hAnsi="Arial"/>
          <w:sz w:val="24"/>
          <w:szCs w:val="24"/>
        </w:rPr>
        <w:t xml:space="preserve">- информированию широких слоев населения о значении и роли интеллектуальной собственности (далее - ИС) как действенного инструмента для повышения уровня жизни населения во всех уголках республики;</w:t>
      </w:r>
    </w:p>
    <w:p>
      <w:pPr>
        <w:spacing w:after="60"/>
        <w:ind w:firstLine="567"/>
        <w:jc w:val="both"/>
      </w:pPr>
      <w:r>
        <w:rPr>
          <w:rFonts w:ascii="Arial" w:cs="Arial" w:eastAsia="Arial" w:hAnsi="Arial"/>
          <w:sz w:val="24"/>
          <w:szCs w:val="24"/>
        </w:rPr>
        <w:t xml:space="preserve">- подготовке учащихся общеобразовательных организаций в соответствии с современными образовательными программами, в том числе по концепции STEAM-образования (science - наука, technology - технология, engineering - инженерия, art - искусство, mathematics - математика);</w:t>
      </w:r>
    </w:p>
    <w:p>
      <w:pPr>
        <w:spacing w:after="60"/>
        <w:ind w:firstLine="567"/>
        <w:jc w:val="both"/>
      </w:pPr>
      <w:r>
        <w:rPr>
          <w:rFonts w:ascii="Arial" w:cs="Arial" w:eastAsia="Arial" w:hAnsi="Arial"/>
          <w:sz w:val="24"/>
          <w:szCs w:val="24"/>
        </w:rPr>
        <w:t xml:space="preserve">- мотивированию авторов для создания и распространения творческих работ и обеспечению условий для самоорганизации авторов, исполнителей и других правообладателей в сфере авторского права и смежных прав, а также создание электронных платформ с целью информирования потенциальных потребителей об ОИС, созданных на территории Кыргызской Республики;</w:t>
      </w:r>
    </w:p>
    <w:p>
      <w:pPr>
        <w:spacing w:after="60"/>
        <w:ind w:firstLine="567"/>
        <w:jc w:val="both"/>
      </w:pPr>
      <w:r>
        <w:rPr>
          <w:rFonts w:ascii="Arial" w:cs="Arial" w:eastAsia="Arial" w:hAnsi="Arial"/>
          <w:sz w:val="24"/>
          <w:szCs w:val="24"/>
        </w:rPr>
        <w:t xml:space="preserve">- совершенствованию процедуры регистрации ОИС, а также использованию элементов искусственного интеллекта и других цифровых технологий в процессе проведения экспертизы заявок на регистрацию ОИС, а также цифровизация всех этапов рассмотрения заявок на регистрацию ОИС. Созданию благоприятных условий для заявителей при получении правовой охраны на созданные ими объекты. Работа будет направлена на использование передовых информационных сервисов, оптимизирующих процедуры регистрации ОИС и сроков рассмотрения заявок;</w:t>
      </w:r>
    </w:p>
    <w:p>
      <w:pPr>
        <w:spacing w:after="60"/>
        <w:ind w:firstLine="567"/>
        <w:jc w:val="both"/>
      </w:pPr>
      <w:r>
        <w:rPr>
          <w:rFonts w:ascii="Arial" w:cs="Arial" w:eastAsia="Arial" w:hAnsi="Arial"/>
          <w:sz w:val="24"/>
          <w:szCs w:val="24"/>
        </w:rPr>
        <w:t xml:space="preserve">- повышению уровня квалификации сотрудников правоохранительных и судебных органов в области охраны и защиты ИС в качестве приоритетного направления по обеспечению эффективной правовой основы для защиты прав ИС;</w:t>
      </w:r>
    </w:p>
    <w:p>
      <w:pPr>
        <w:spacing w:after="60"/>
        <w:ind w:firstLine="567"/>
        <w:jc w:val="both"/>
      </w:pPr>
      <w:r>
        <w:rPr>
          <w:rFonts w:ascii="Arial" w:cs="Arial" w:eastAsia="Arial" w:hAnsi="Arial"/>
          <w:sz w:val="24"/>
          <w:szCs w:val="24"/>
        </w:rPr>
        <w:t xml:space="preserve">- совершенствованию нормативной правовой базы в области правовой защиты ОИС. Другим важным приоритетом по достижению четвертой подцели выступает пресечение правонарушений в сфере защиты прав ИС, в том числе в цифровой среде;</w:t>
      </w:r>
    </w:p>
    <w:p>
      <w:pPr>
        <w:spacing w:after="60"/>
        <w:ind w:firstLine="567"/>
        <w:jc w:val="both"/>
      </w:pPr>
      <w:r>
        <w:rPr>
          <w:rFonts w:ascii="Arial" w:cs="Arial" w:eastAsia="Arial" w:hAnsi="Arial"/>
          <w:sz w:val="24"/>
          <w:szCs w:val="24"/>
        </w:rPr>
        <w:t xml:space="preserve">- совершенствованию правовой базы инновационной деятельности и развитию инфраструктуры для формирования экосистемы ИС и инноваций, обеспечивающей взаимодействие бизнеса и изобретателей, укрепление ценности бренда и деловой репутации отечественных компаний, а также передачу знаний и технологий.</w:t>
      </w:r>
    </w:p>
    <w:p>
      <w:pPr>
        <w:spacing w:after="60"/>
        <w:ind w:firstLine="567"/>
        <w:jc w:val="both"/>
      </w:pPr>
      <w:r>
        <w:rPr>
          <w:rFonts w:ascii="Arial" w:cs="Arial" w:eastAsia="Arial" w:hAnsi="Arial"/>
          <w:sz w:val="24"/>
          <w:szCs w:val="24"/>
        </w:rPr>
        <w:t xml:space="preserve">Будет реализовываться следующий комплекс мер:</w:t>
      </w:r>
    </w:p>
    <w:p>
      <w:pPr>
        <w:spacing w:after="60"/>
        <w:ind w:firstLine="567"/>
        <w:jc w:val="both"/>
      </w:pPr>
      <w:r>
        <w:rPr>
          <w:rFonts w:ascii="Arial" w:cs="Arial" w:eastAsia="Arial" w:hAnsi="Arial"/>
          <w:sz w:val="24"/>
          <w:szCs w:val="24"/>
        </w:rPr>
        <w:t xml:space="preserve">- формирование дополнительных образовательных программ с учетом потребностей различных категорий обучающихся;</w:t>
      </w:r>
    </w:p>
    <w:p>
      <w:pPr>
        <w:spacing w:after="60"/>
        <w:ind w:firstLine="567"/>
        <w:jc w:val="both"/>
      </w:pPr>
      <w:r>
        <w:rPr>
          <w:rFonts w:ascii="Arial" w:cs="Arial" w:eastAsia="Arial" w:hAnsi="Arial"/>
          <w:sz w:val="24"/>
          <w:szCs w:val="24"/>
        </w:rPr>
        <w:t xml:space="preserve">- содействие повышению патентной активности;</w:t>
      </w:r>
    </w:p>
    <w:p>
      <w:pPr>
        <w:spacing w:after="60"/>
        <w:ind w:firstLine="567"/>
        <w:jc w:val="both"/>
      </w:pPr>
      <w:r>
        <w:rPr>
          <w:rFonts w:ascii="Arial" w:cs="Arial" w:eastAsia="Arial" w:hAnsi="Arial"/>
          <w:sz w:val="24"/>
          <w:szCs w:val="24"/>
        </w:rPr>
        <w:t xml:space="preserve">- осуществление контроля и надзора в сфере правовой охраны и использования РИД, созданных за счет бюджетных средств;</w:t>
      </w:r>
    </w:p>
    <w:p>
      <w:pPr>
        <w:spacing w:after="60"/>
        <w:ind w:firstLine="567"/>
        <w:jc w:val="both"/>
      </w:pPr>
      <w:r>
        <w:rPr>
          <w:rFonts w:ascii="Arial" w:cs="Arial" w:eastAsia="Arial" w:hAnsi="Arial"/>
          <w:sz w:val="24"/>
          <w:szCs w:val="24"/>
        </w:rPr>
        <w:t xml:space="preserve">- оказание поддержки региональным производителям для роста и устойчивого развития;</w:t>
      </w:r>
    </w:p>
    <w:p>
      <w:pPr>
        <w:spacing w:after="60"/>
        <w:ind w:firstLine="567"/>
        <w:jc w:val="both"/>
      </w:pPr>
      <w:r>
        <w:rPr>
          <w:rFonts w:ascii="Arial" w:cs="Arial" w:eastAsia="Arial" w:hAnsi="Arial"/>
          <w:sz w:val="24"/>
          <w:szCs w:val="24"/>
        </w:rPr>
        <w:t xml:space="preserve">- стимулирование изобретательской и инновационной деятельности;</w:t>
      </w:r>
    </w:p>
    <w:p>
      <w:pPr>
        <w:spacing w:after="60"/>
        <w:ind w:firstLine="567"/>
        <w:jc w:val="both"/>
      </w:pPr>
      <w:r>
        <w:rPr>
          <w:rFonts w:ascii="Arial" w:cs="Arial" w:eastAsia="Arial" w:hAnsi="Arial"/>
          <w:sz w:val="24"/>
          <w:szCs w:val="24"/>
        </w:rPr>
        <w:t xml:space="preserve">- повышение информированности общества по вопросам авторского права и смежных прав;</w:t>
      </w:r>
    </w:p>
    <w:p>
      <w:pPr>
        <w:spacing w:after="60"/>
        <w:ind w:firstLine="567"/>
        <w:jc w:val="both"/>
      </w:pPr>
      <w:r>
        <w:rPr>
          <w:rFonts w:ascii="Arial" w:cs="Arial" w:eastAsia="Arial" w:hAnsi="Arial"/>
          <w:sz w:val="24"/>
          <w:szCs w:val="24"/>
        </w:rPr>
        <w:t xml:space="preserve">- совершенствование процесса предоставления правовой охраны объектам промышленной собственности;</w:t>
      </w:r>
    </w:p>
    <w:p>
      <w:pPr>
        <w:spacing w:after="60"/>
        <w:ind w:firstLine="567"/>
        <w:jc w:val="both"/>
      </w:pPr>
      <w:r>
        <w:rPr>
          <w:rFonts w:ascii="Arial" w:cs="Arial" w:eastAsia="Arial" w:hAnsi="Arial"/>
          <w:sz w:val="24"/>
          <w:szCs w:val="24"/>
        </w:rPr>
        <w:t xml:space="preserve">- цифровизация всех этапов рассмотрения заявок на регистрацию ОИС, а также процедур поддержания в силе охранных документов на них;</w:t>
      </w:r>
    </w:p>
    <w:p>
      <w:pPr>
        <w:spacing w:after="60"/>
        <w:ind w:firstLine="567"/>
        <w:jc w:val="both"/>
      </w:pPr>
      <w:r>
        <w:rPr>
          <w:rFonts w:ascii="Arial" w:cs="Arial" w:eastAsia="Arial" w:hAnsi="Arial"/>
          <w:sz w:val="24"/>
          <w:szCs w:val="24"/>
        </w:rPr>
        <w:t xml:space="preserve">- совершенствование нормативной правовой базы в области правовой охраны и защиты ОИС;</w:t>
      </w:r>
    </w:p>
    <w:p>
      <w:pPr>
        <w:spacing w:after="60"/>
        <w:ind w:firstLine="567"/>
        <w:jc w:val="both"/>
      </w:pPr>
      <w:r>
        <w:rPr>
          <w:rFonts w:ascii="Arial" w:cs="Arial" w:eastAsia="Arial" w:hAnsi="Arial"/>
          <w:sz w:val="24"/>
          <w:szCs w:val="24"/>
        </w:rPr>
        <w:t xml:space="preserve">- совершенствование процесса досудебного разбирательства по спорам в области ИС;</w:t>
      </w:r>
    </w:p>
    <w:p>
      <w:pPr>
        <w:spacing w:after="60"/>
        <w:ind w:firstLine="567"/>
        <w:jc w:val="both"/>
      </w:pPr>
      <w:r>
        <w:rPr>
          <w:rFonts w:ascii="Arial" w:cs="Arial" w:eastAsia="Arial" w:hAnsi="Arial"/>
          <w:sz w:val="24"/>
          <w:szCs w:val="24"/>
        </w:rPr>
        <w:t xml:space="preserve">- содействие улучшению судебного администрирования в сфере защиты ИС;</w:t>
      </w:r>
    </w:p>
    <w:p>
      <w:pPr>
        <w:spacing w:after="60"/>
        <w:ind w:firstLine="567"/>
        <w:jc w:val="both"/>
      </w:pPr>
      <w:r>
        <w:rPr>
          <w:rFonts w:ascii="Arial" w:cs="Arial" w:eastAsia="Arial" w:hAnsi="Arial"/>
          <w:sz w:val="24"/>
          <w:szCs w:val="24"/>
        </w:rPr>
        <w:t xml:space="preserve">- совершенствование правовой базы развития инновационной деятельности;</w:t>
      </w:r>
    </w:p>
    <w:p>
      <w:pPr>
        <w:spacing w:after="60"/>
        <w:ind w:firstLine="567"/>
        <w:jc w:val="both"/>
      </w:pPr>
      <w:r>
        <w:rPr>
          <w:rFonts w:ascii="Arial" w:cs="Arial" w:eastAsia="Arial" w:hAnsi="Arial"/>
          <w:sz w:val="24"/>
          <w:szCs w:val="24"/>
        </w:rPr>
        <w:t xml:space="preserve">- поддержка инновационных предприятий для стимулирования экономической модернизации;</w:t>
      </w:r>
    </w:p>
    <w:p>
      <w:pPr>
        <w:spacing w:after="60"/>
        <w:ind w:firstLine="567"/>
        <w:jc w:val="both"/>
      </w:pPr>
      <w:r>
        <w:rPr>
          <w:rFonts w:ascii="Arial" w:cs="Arial" w:eastAsia="Arial" w:hAnsi="Arial"/>
          <w:sz w:val="24"/>
          <w:szCs w:val="24"/>
        </w:rPr>
        <w:t xml:space="preserve">- развитие инфраструктуры для создания ОИС и инноваций;</w:t>
      </w:r>
    </w:p>
    <w:p>
      <w:pPr>
        <w:spacing w:after="60"/>
        <w:ind w:firstLine="567"/>
        <w:jc w:val="both"/>
      </w:pPr>
      <w:r>
        <w:rPr>
          <w:rFonts w:ascii="Arial" w:cs="Arial" w:eastAsia="Arial" w:hAnsi="Arial"/>
          <w:sz w:val="24"/>
          <w:szCs w:val="24"/>
        </w:rPr>
        <w:t xml:space="preserve">- создание системы поддержки предпринимательства в регионах и использования отечественных инноваций;</w:t>
      </w:r>
    </w:p>
    <w:p>
      <w:pPr>
        <w:spacing w:after="60"/>
        <w:ind w:firstLine="567"/>
        <w:jc w:val="both"/>
      </w:pPr>
      <w:r>
        <w:rPr>
          <w:rFonts w:ascii="Arial" w:cs="Arial" w:eastAsia="Arial" w:hAnsi="Arial"/>
          <w:sz w:val="24"/>
          <w:szCs w:val="24"/>
        </w:rPr>
        <w:t xml:space="preserve">- активизация инновационной деятельности в бизнес-секторе и стимулирование развития потенциала для освоения заимствованных технологий и знаний.</w:t>
      </w:r>
    </w:p>
    <w:p>
      <w:pPr>
        <w:spacing w:after="60"/>
        <w:ind w:firstLine="567"/>
        <w:jc w:val="both"/>
      </w:pPr>
      <w:r>
        <w:rPr>
          <w:rFonts w:ascii="Arial" w:cs="Arial" w:eastAsia="Arial" w:hAnsi="Arial"/>
          <w:sz w:val="24"/>
          <w:szCs w:val="24"/>
        </w:rPr>
        <w:t xml:space="preserve">Принятые меры будут способствовать совершенствованию нормативных правовых актов в сфере ИС; формированию единого видения по созданию и развитию национальной инновационной системы; созданию площадки для сотрудничества между малым и средним предпринимательством, государственными структурами и научным сообществом; обучению представителей бизнес-сообщества, исследовательских институтов практическим навыкам управления правами интеллектуальной собственности и их охраны; развитию и стимулированию интеллектуального потенциала творческой молодежи; поощрению и стимулированию творческой деятельности молодых авторов; осведомленности населения о вреде контрафактной продукции, содержащей объекты интеллектуальной собственности; формированию группы представителей средств массовой информации, специализирующихся по вопросам интеллектуальной собственности.</w:t>
      </w:r>
    </w:p>
    <w:p>
      <w:pPr>
        <w:spacing w:after="200" w:before="200"/>
        <w:jc w:val="center"/>
      </w:pPr>
      <w:r>
        <w:rPr>
          <w:rFonts w:ascii="Arial" w:cs="Arial" w:eastAsia="Arial" w:hAnsi="Arial"/>
          <w:b/>
          <w:bCs/>
          <w:sz w:val="24"/>
          <w:szCs w:val="24"/>
        </w:rPr>
        <w:t xml:space="preserve">6. Прогноз экономического роста (по производству)</w:t>
      </w:r>
    </w:p>
    <w:p>
      <w:pPr>
        <w:spacing w:after="60"/>
        <w:ind w:firstLine="567"/>
        <w:jc w:val="both"/>
      </w:pPr>
      <w:r>
        <w:rPr>
          <w:rFonts w:ascii="Arial" w:cs="Arial" w:eastAsia="Arial" w:hAnsi="Arial"/>
          <w:sz w:val="24"/>
          <w:szCs w:val="24"/>
        </w:rPr>
        <w:t xml:space="preserve">На основе учета вышеуказанных предпосылок и предположений, на базе официальных прогнозов отраслевых министерств, ведомств, регионов, экономический рост на 2025 г. прогнозируется на уровне 106,0%, с номинальным объемом 1624,1 млрд. сомов.</w:t>
      </w:r>
    </w:p>
    <w:p>
      <w:pPr>
        <w:spacing w:after="60"/>
        <w:ind w:firstLine="567"/>
        <w:jc w:val="both"/>
      </w:pPr>
      <w:r>
        <w:rPr>
          <w:rFonts w:ascii="Arial" w:cs="Arial" w:eastAsia="Arial" w:hAnsi="Arial"/>
          <w:sz w:val="24"/>
          <w:szCs w:val="24"/>
        </w:rPr>
        <w:t xml:space="preserve">Основные показатели в секторах экономики на 2025 г. прогнозируются следующим образом: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9</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b/>
          <w:bCs/>
          <w:sz w:val="24"/>
          <w:szCs w:val="24"/>
        </w:rPr>
        <w:t xml:space="preserve">Структура и темпы роста по отраслям, формирующим ВВП
 </w:t>
      </w:r>
      <w:r>
        <w:rPr>
          <w:rFonts w:ascii="Arial" w:cs="Arial" w:eastAsia="Arial" w:hAnsi="Arial"/>
          <w:sz w:val="24"/>
          <w:szCs w:val="24"/>
        </w:rPr>
        <w:t xml:space="preserve">(темпы роста приведены по ВДС)</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52"/>
        <w:gridCol w:w="1104"/>
        <w:gridCol w:w="1104"/>
        <w:gridCol w:w="1104"/>
        <w:gridCol w:w="1104"/>
        <w:gridCol w:w="1103"/>
        <w:gridCol w:w="1103"/>
        <w:gridCol w:w="1103"/>
        <w:gridCol w:w="1103"/>
      </w:tblGrid>
      <w:tr>
        <w:tc>
          <w:tcPr>
            <w:tcW w:type="dxa" w:w="135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1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 ожидаемое</w:t>
            </w:r>
          </w:p>
        </w:tc>
        <w:tc>
          <w:tcPr>
            <w:tcW w:type="dxa" w:w="441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 прогноз</w:t>
            </w:r>
          </w:p>
        </w:tc>
      </w:tr>
      <w:tr>
        <w:tc>
          <w:tcPr>
            <w:vMerge w:val="continue"/>
            <w:tcBorders>
              <w:top w:val="single" w:color="CBBF9E" w:sz="4"/>
              <w:left w:val="single" w:color="CBBF9E" w:sz="4"/>
              <w:bottom w:val="single" w:color="CBBF9E" w:sz="4"/>
              <w:right w:val="single" w:color="CBBF9E" w:sz="4"/>
            </w:tcBorders>
          </w:tcP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13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1414726,7</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106,3</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1624087,2</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106,0</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w:t>
            </w:r>
          </w:p>
        </w:tc>
      </w:tr>
      <w:tr>
        <w:tc>
          <w:tcPr>
            <w:tcW w:type="dxa" w:w="1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213447,9</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237723,4</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1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127206,8</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137163,7</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1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99690,6</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114906,9</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r>
      <w:tr>
        <w:tc>
          <w:tcPr>
            <w:tcW w:type="dxa" w:w="1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714556,4</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826039,9</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r>
      <w:tr>
        <w:tc>
          <w:tcPr>
            <w:tcW w:type="dxa" w:w="1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259824,9</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308253,3</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Экономический рост, прогнозируемый на уровне 6,0%, будет поддерживаться со стороны всех отраслей экономики, формирующих ВВП страны. При этом наибольший вклад будет обеспечен со стороны отраслей, оказывающих услуги - 2,6 процентного пункта и промышленности - 1,1 процентного пункта, вклады других отраслей будут умеренными: строительства - 0,7 процентного пункта, сельского хозяйства - 0,3 процентного пункта.</w:t>
      </w:r>
    </w:p>
    <w:p>
      <w:pPr>
        <w:spacing w:after="60"/>
        <w:ind w:firstLine="567"/>
        <w:jc w:val="both"/>
      </w:pPr>
      <w:r>
        <w:rPr>
          <w:rFonts w:ascii="Arial" w:cs="Arial" w:eastAsia="Arial" w:hAnsi="Arial"/>
          <w:sz w:val="24"/>
          <w:szCs w:val="24"/>
        </w:rPr>
        <w:t xml:space="preserve">Складывающиеся тенденции в экономике будут оказывать влияние на структуру ВВП по отраслям экономики, где, как и раньше, основную долю будут занимать отрасли, оказывающие услуги - 50,9%, а доля отраслей, производящих товары - 30,1%.</w:t>
      </w:r>
    </w:p>
    <w:p>
      <w:pPr>
        <w:spacing w:after="60" w:before="200"/>
        <w:ind w:firstLine="567"/>
        <w:jc w:val="left"/>
      </w:pPr>
      <w:r>
        <w:rPr>
          <w:rFonts w:ascii="Arial" w:cs="Arial" w:eastAsia="Arial" w:hAnsi="Arial"/>
          <w:b/>
          <w:bCs/>
          <w:sz w:val="24"/>
          <w:szCs w:val="24"/>
        </w:rPr>
        <w:t xml:space="preserve">6.1. Развитие реального сектора</w:t>
      </w:r>
    </w:p>
    <w:p>
      <w:pPr>
        <w:spacing w:after="60" w:before="200"/>
        <w:ind w:firstLine="567"/>
        <w:jc w:val="left"/>
      </w:pPr>
      <w:r>
        <w:rPr>
          <w:rFonts w:ascii="Arial" w:cs="Arial" w:eastAsia="Arial" w:hAnsi="Arial"/>
          <w:b/>
          <w:bCs/>
          <w:sz w:val="24"/>
          <w:szCs w:val="24"/>
        </w:rPr>
        <w:t xml:space="preserve">6.1.1. Сельское хозяйство</w:t>
      </w:r>
    </w:p>
    <w:p>
      <w:pPr>
        <w:spacing w:after="60"/>
        <w:ind w:firstLine="567"/>
        <w:jc w:val="both"/>
      </w:pPr>
      <w:r>
        <w:rPr>
          <w:rFonts w:ascii="Arial" w:cs="Arial" w:eastAsia="Arial" w:hAnsi="Arial"/>
          <w:sz w:val="24"/>
          <w:szCs w:val="24"/>
        </w:rPr>
        <w:t xml:space="preserve">Политика развития агропромышленного сектора экономики будет направлена на принятие согласованных мер для обеспечения населения страны качественной, безопасной и доступной сельскохозяйственной продукцией отечественного производства, а также на увеличение объемов, эффективности и конкурентоспособности агропромышленного комплекса Кыргызской Республики, на поиск новых экспортных возможностей.</w:t>
      </w:r>
    </w:p>
    <w:p>
      <w:pPr>
        <w:spacing w:after="60"/>
        <w:ind w:firstLine="567"/>
        <w:jc w:val="both"/>
      </w:pPr>
      <w:r>
        <w:rPr>
          <w:rFonts w:ascii="Arial" w:cs="Arial" w:eastAsia="Arial" w:hAnsi="Arial"/>
          <w:sz w:val="24"/>
          <w:szCs w:val="24"/>
        </w:rPr>
        <w:t xml:space="preserve">Политика по развитию агропромышленного комплекса будет сосредоточена на следующих приоритетах:</w:t>
      </w:r>
    </w:p>
    <w:p>
      <w:pPr>
        <w:spacing w:after="60"/>
        <w:ind w:firstLine="567"/>
        <w:jc w:val="both"/>
      </w:pPr>
      <w:r>
        <w:rPr>
          <w:rFonts w:ascii="Arial" w:cs="Arial" w:eastAsia="Arial" w:hAnsi="Arial"/>
          <w:sz w:val="24"/>
          <w:szCs w:val="24"/>
        </w:rPr>
        <w:t xml:space="preserve">- агропромышленная интеграция и повышение конкурентоспособности агропромышленного комплекса с целью обеспечения продовольственной безопасности;</w:t>
      </w:r>
    </w:p>
    <w:p>
      <w:pPr>
        <w:spacing w:after="60"/>
        <w:ind w:firstLine="567"/>
        <w:jc w:val="both"/>
      </w:pPr>
      <w:r>
        <w:rPr>
          <w:rFonts w:ascii="Arial" w:cs="Arial" w:eastAsia="Arial" w:hAnsi="Arial"/>
          <w:sz w:val="24"/>
          <w:szCs w:val="24"/>
        </w:rPr>
        <w:t xml:space="preserve">- создание благоприятных условий для производства и реализации сельскохозяйственной продукции;</w:t>
      </w:r>
    </w:p>
    <w:p>
      <w:pPr>
        <w:spacing w:after="60"/>
        <w:ind w:firstLine="567"/>
        <w:jc w:val="both"/>
      </w:pPr>
      <w:r>
        <w:rPr>
          <w:rFonts w:ascii="Arial" w:cs="Arial" w:eastAsia="Arial" w:hAnsi="Arial"/>
          <w:sz w:val="24"/>
          <w:szCs w:val="24"/>
        </w:rPr>
        <w:t xml:space="preserve">- повышение эффективности использования земельных и водных ресурсов, адаптация сельскохозяйственного производства к изменению климата;</w:t>
      </w:r>
    </w:p>
    <w:p>
      <w:pPr>
        <w:spacing w:after="60"/>
        <w:ind w:firstLine="567"/>
        <w:jc w:val="both"/>
      </w:pPr>
      <w:r>
        <w:rPr>
          <w:rFonts w:ascii="Arial" w:cs="Arial" w:eastAsia="Arial" w:hAnsi="Arial"/>
          <w:sz w:val="24"/>
          <w:szCs w:val="24"/>
        </w:rPr>
        <w:t xml:space="preserve">- совершенствование управления и инновационное развитие агропромышленного комплекса.</w:t>
      </w:r>
    </w:p>
    <w:p>
      <w:pPr>
        <w:spacing w:after="60"/>
        <w:ind w:firstLine="567"/>
        <w:jc w:val="both"/>
      </w:pPr>
      <w:r>
        <w:rPr>
          <w:rFonts w:ascii="Arial" w:cs="Arial" w:eastAsia="Arial" w:hAnsi="Arial"/>
          <w:sz w:val="24"/>
          <w:szCs w:val="24"/>
        </w:rPr>
        <w:t xml:space="preserve">Основными задачами развития сельского хозяйства будут:</w:t>
      </w:r>
    </w:p>
    <w:p>
      <w:pPr>
        <w:spacing w:after="60"/>
        <w:ind w:firstLine="567"/>
        <w:jc w:val="both"/>
      </w:pPr>
      <w:r>
        <w:rPr>
          <w:rFonts w:ascii="Arial" w:cs="Arial" w:eastAsia="Arial" w:hAnsi="Arial"/>
          <w:sz w:val="24"/>
          <w:szCs w:val="24"/>
        </w:rPr>
        <w:t xml:space="preserve">- повышение эффективности использования и рыночного оборота земель сельскохозяйственного назначения;</w:t>
      </w:r>
    </w:p>
    <w:p>
      <w:pPr>
        <w:spacing w:after="60"/>
        <w:ind w:firstLine="567"/>
        <w:jc w:val="both"/>
      </w:pPr>
      <w:r>
        <w:rPr>
          <w:rFonts w:ascii="Arial" w:cs="Arial" w:eastAsia="Arial" w:hAnsi="Arial"/>
          <w:sz w:val="24"/>
          <w:szCs w:val="24"/>
        </w:rPr>
        <w:t xml:space="preserve">- внедрение кластерных методов ведения хозяйства в агропромышленном комплексе на национальном и областном уровнях, в том числе организация агрокластеров по переработке сельскохозяйственной продукции;</w:t>
      </w:r>
    </w:p>
    <w:p>
      <w:pPr>
        <w:spacing w:after="60"/>
        <w:ind w:firstLine="567"/>
        <w:jc w:val="both"/>
      </w:pPr>
      <w:r>
        <w:rPr>
          <w:rFonts w:ascii="Arial" w:cs="Arial" w:eastAsia="Arial" w:hAnsi="Arial"/>
          <w:sz w:val="24"/>
          <w:szCs w:val="24"/>
        </w:rPr>
        <w:t xml:space="preserve">- создание условий для крупных землепользователей для строительства ферм на своих земельных участках, необходимых для развития фермерства;</w:t>
      </w:r>
    </w:p>
    <w:p>
      <w:pPr>
        <w:spacing w:after="60"/>
        <w:ind w:firstLine="567"/>
        <w:jc w:val="both"/>
      </w:pPr>
      <w:r>
        <w:rPr>
          <w:rFonts w:ascii="Arial" w:cs="Arial" w:eastAsia="Arial" w:hAnsi="Arial"/>
          <w:sz w:val="24"/>
          <w:szCs w:val="24"/>
        </w:rPr>
        <w:t xml:space="preserve">- разработка механизмов кооперации с отраслевой наукой и кластерными объединениями для улучшения доступа фермеров к инновациям и современным технологиям;</w:t>
      </w:r>
    </w:p>
    <w:p>
      <w:pPr>
        <w:spacing w:after="60"/>
        <w:ind w:firstLine="567"/>
        <w:jc w:val="both"/>
      </w:pPr>
      <w:r>
        <w:rPr>
          <w:rFonts w:ascii="Arial" w:cs="Arial" w:eastAsia="Arial" w:hAnsi="Arial"/>
          <w:sz w:val="24"/>
          <w:szCs w:val="24"/>
        </w:rPr>
        <w:t xml:space="preserve">- внедрение цифровых технологий в сельском хозяйстве для обеспечения прослеживаемости и безопасности сельскохозяйственной продукции;</w:t>
      </w:r>
    </w:p>
    <w:p>
      <w:pPr>
        <w:spacing w:after="60"/>
        <w:ind w:firstLine="567"/>
        <w:jc w:val="both"/>
      </w:pPr>
      <w:r>
        <w:rPr>
          <w:rFonts w:ascii="Arial" w:cs="Arial" w:eastAsia="Arial" w:hAnsi="Arial"/>
          <w:sz w:val="24"/>
          <w:szCs w:val="24"/>
        </w:rPr>
        <w:t xml:space="preserve">- преодоление мелкотоварного производства путем развития кооперации в сельском хозяйстве;</w:t>
      </w:r>
    </w:p>
    <w:p>
      <w:pPr>
        <w:spacing w:after="60"/>
        <w:ind w:firstLine="567"/>
        <w:jc w:val="both"/>
      </w:pPr>
      <w:r>
        <w:rPr>
          <w:rFonts w:ascii="Arial" w:cs="Arial" w:eastAsia="Arial" w:hAnsi="Arial"/>
          <w:sz w:val="24"/>
          <w:szCs w:val="24"/>
        </w:rPr>
        <w:t xml:space="preserve">- развитие мелкого и среднего бизнеса для создания новых рабочих мест и увеличения доходов населения;</w:t>
      </w:r>
    </w:p>
    <w:p>
      <w:pPr>
        <w:spacing w:after="60"/>
        <w:ind w:firstLine="567"/>
        <w:jc w:val="both"/>
      </w:pPr>
      <w:r>
        <w:rPr>
          <w:rFonts w:ascii="Arial" w:cs="Arial" w:eastAsia="Arial" w:hAnsi="Arial"/>
          <w:sz w:val="24"/>
          <w:szCs w:val="24"/>
        </w:rPr>
        <w:t xml:space="preserve">- внедрение технологий для улучшения учета воды и управления водными ресурсами в ирригационной сети;</w:t>
      </w:r>
    </w:p>
    <w:p>
      <w:pPr>
        <w:spacing w:after="60"/>
        <w:ind w:firstLine="567"/>
        <w:jc w:val="both"/>
      </w:pPr>
      <w:r>
        <w:rPr>
          <w:rFonts w:ascii="Arial" w:cs="Arial" w:eastAsia="Arial" w:hAnsi="Arial"/>
          <w:sz w:val="24"/>
          <w:szCs w:val="24"/>
        </w:rPr>
        <w:t xml:space="preserve">- развитие переработки сельскохозяйственной продукции для повышения ее стоимости;</w:t>
      </w:r>
    </w:p>
    <w:p>
      <w:pPr>
        <w:spacing w:after="60"/>
        <w:ind w:firstLine="567"/>
        <w:jc w:val="both"/>
      </w:pPr>
      <w:r>
        <w:rPr>
          <w:rFonts w:ascii="Arial" w:cs="Arial" w:eastAsia="Arial" w:hAnsi="Arial"/>
          <w:sz w:val="24"/>
          <w:szCs w:val="24"/>
        </w:rPr>
        <w:t xml:space="preserve">- развитие овощеводства и плодоводства для улучшения качества продукции и повышения конкурентоспособности на рынке;</w:t>
      </w:r>
    </w:p>
    <w:p>
      <w:pPr>
        <w:spacing w:after="60"/>
        <w:ind w:firstLine="567"/>
        <w:jc w:val="both"/>
      </w:pPr>
      <w:r>
        <w:rPr>
          <w:rFonts w:ascii="Arial" w:cs="Arial" w:eastAsia="Arial" w:hAnsi="Arial"/>
          <w:sz w:val="24"/>
          <w:szCs w:val="24"/>
        </w:rPr>
        <w:t xml:space="preserve">- развитие производства кормов и селекции животных для увеличения производительности скота и других животных;</w:t>
      </w:r>
    </w:p>
    <w:p>
      <w:pPr>
        <w:spacing w:after="60"/>
        <w:ind w:firstLine="567"/>
        <w:jc w:val="both"/>
      </w:pPr>
      <w:r>
        <w:rPr>
          <w:rFonts w:ascii="Arial" w:cs="Arial" w:eastAsia="Arial" w:hAnsi="Arial"/>
          <w:sz w:val="24"/>
          <w:szCs w:val="24"/>
        </w:rPr>
        <w:t xml:space="preserve">- улучшение инфраструктуры сельского хозяйства, включая ирригационные системы и электрификацию.</w:t>
      </w:r>
    </w:p>
    <w:p>
      <w:pPr>
        <w:spacing w:after="60"/>
        <w:ind w:firstLine="567"/>
        <w:jc w:val="both"/>
      </w:pPr>
      <w:r>
        <w:rPr>
          <w:rFonts w:ascii="Arial" w:cs="Arial" w:eastAsia="Arial" w:hAnsi="Arial"/>
          <w:sz w:val="24"/>
          <w:szCs w:val="24"/>
        </w:rPr>
        <w:t xml:space="preserve">Развитие агропромышленного комплекса будет осуществляться в рамках реализации </w:t>
      </w:r>
      <w:hyperlink w:history="1" r:id="rIdzjzm5enbbz21gmn3ayg2k">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 развитию агропромышленного комплекса Кыргызской Республики" от 8 февраля 2021 г. № 25.</w:t>
      </w:r>
    </w:p>
    <w:p>
      <w:pPr>
        <w:spacing w:after="60"/>
        <w:ind w:firstLine="567"/>
        <w:jc w:val="both"/>
      </w:pPr>
      <w:r>
        <w:rPr>
          <w:rFonts w:ascii="Arial" w:cs="Arial" w:eastAsia="Arial" w:hAnsi="Arial"/>
          <w:sz w:val="24"/>
          <w:szCs w:val="24"/>
        </w:rPr>
        <w:t xml:space="preserve">Для продвижения указанных направлений будут реализованы меры, предусмотренные в Национальной стратегии развития Кыргызской Республики на 2018-2040 гг. (</w:t>
      </w:r>
      <w:hyperlink w:history="1" r:id="rId-aiik0bxwaqwahhaeuucc">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Национальной стратегии развития Кыргызской Республики на 2018-2040 годы" от 31 октября 2018 г. № 221) и в </w:t>
      </w:r>
      <w:hyperlink w:history="1" r:id="rIdqy7v4pvhjzcn2tf1slu-q">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 (</w:t>
      </w:r>
      <w:hyperlink w:history="1" r:id="rIdk3fxkfwx8a60mlkj5s1qh">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w:t>
      </w:r>
      <w:hyperlink w:history="1" r:id="rIdw0nlbnbazjmrmdjokt9yx">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от 12 октября 2021 г. № 435), а также в следующих программных документах:</w:t>
      </w:r>
    </w:p>
    <w:p>
      <w:pPr>
        <w:spacing w:after="60"/>
        <w:ind w:firstLine="567"/>
        <w:jc w:val="both"/>
      </w:pPr>
      <w:r>
        <w:rPr>
          <w:rFonts w:ascii="Arial" w:cs="Arial" w:eastAsia="Arial" w:hAnsi="Arial"/>
          <w:sz w:val="24"/>
          <w:szCs w:val="24"/>
        </w:rPr>
        <w:t xml:space="preserve">- Государственная программа развития ирригации в Кыргызской Республике на 2017-2026 гг. (</w:t>
      </w:r>
      <w:hyperlink w:history="1" r:id="rIdp_qhy1x6p2yosl-vts9d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wuub6_jsh42xbxwi-x6th">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развития ирригации Кыргызской Республики на 2017-2026 годы" от 21 июля 2017 г. № 440), предусматривающая строительство ирригационной инфраструктуры для обеспечения новыми орошаемыми землями сельских жителей;</w:t>
      </w:r>
    </w:p>
    <w:p>
      <w:pPr>
        <w:spacing w:after="60"/>
        <w:ind w:firstLine="567"/>
        <w:jc w:val="both"/>
      </w:pPr>
      <w:r>
        <w:rPr>
          <w:rFonts w:ascii="Arial" w:cs="Arial" w:eastAsia="Arial" w:hAnsi="Arial"/>
          <w:sz w:val="24"/>
          <w:szCs w:val="24"/>
        </w:rPr>
        <w:t xml:space="preserve">- Программа повышения плодородия почв Кыргызской Республики на 2024-2028 гг. (распоряжение Кабинета Министров Кыргызской Республики "Об утверждении Программы повышения плодородия почв Кыргызской Республики на 2024-2028 годы" от 25 марта 2024 г. № 107), направленная на повышение рационального хозяйственного использования плодородия почвы и охраны земель;</w:t>
      </w:r>
    </w:p>
    <w:p>
      <w:pPr>
        <w:spacing w:after="60"/>
        <w:ind w:firstLine="567"/>
        <w:jc w:val="both"/>
      </w:pPr>
      <w:r>
        <w:rPr>
          <w:rFonts w:ascii="Arial" w:cs="Arial" w:eastAsia="Arial" w:hAnsi="Arial"/>
          <w:sz w:val="24"/>
          <w:szCs w:val="24"/>
        </w:rPr>
        <w:t xml:space="preserve">- Программа развития сельскохозяйственной кооперации в Кыргызской Республике 2023-2027 гг. (</w:t>
      </w:r>
      <w:hyperlink w:history="1" r:id="rIdfnr0ko1y7veqvoxybnry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egu2dbdxautqchzpu7q4">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сельскохозяйственной кооперации в Кыргызской Республике на 2023-2027 годы" от 23 августа 2023 г. № 418), направленная на развитие сельскохозяйственных кооперативов в Кыргызской Республике, повышение конкурентоспособности продукции агропромышленного комплекса;</w:t>
      </w:r>
    </w:p>
    <w:p>
      <w:pPr>
        <w:spacing w:after="60"/>
        <w:ind w:firstLine="567"/>
        <w:jc w:val="both"/>
      </w:pPr>
      <w:r>
        <w:rPr>
          <w:rFonts w:ascii="Arial" w:cs="Arial" w:eastAsia="Arial" w:hAnsi="Arial"/>
          <w:sz w:val="24"/>
          <w:szCs w:val="24"/>
        </w:rPr>
        <w:t xml:space="preserve">- Концепция кластерной политики в агропромышленном комплексе Кыргызской Республики до 2031 г. (внесен в Кабинет Министров Кыргызской Республики для утверждения).</w:t>
      </w:r>
    </w:p>
    <w:p>
      <w:pPr>
        <w:spacing w:after="60"/>
        <w:ind w:firstLine="567"/>
        <w:jc w:val="both"/>
      </w:pPr>
      <w:r>
        <w:rPr>
          <w:rFonts w:ascii="Arial" w:cs="Arial" w:eastAsia="Arial" w:hAnsi="Arial"/>
          <w:sz w:val="24"/>
          <w:szCs w:val="24"/>
        </w:rPr>
        <w:t xml:space="preserve">В целях оказания государственной поддержки хозяйствующим субъектам аграрного сектора республики будет продолжено льготное кредитование посредством реализации проектов, в частности "Кредитование агропромышленного комплекса" для поддержки хозяйствующих субъектов аграрного сектора, путем льготного кредитования развития агропромышленных кластеров: молока, мяса (мяса КРС и МРС, птицы, рыбы), сахара, куриного яйца, овощей, фруктов, картофеля, растительного масла, зерновых культур (</w:t>
      </w:r>
      <w:hyperlink w:history="1" r:id="rIdxjgkd-iuzjjfpo53gfs3g">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Кабинета Министров Кыргызской Республики "Об утверждении проекта "Кредитование агропромышленного комплекса" от 16 марта 2022 г. № 120-р).</w:t>
      </w:r>
    </w:p>
    <w:p>
      <w:pPr>
        <w:spacing w:after="60"/>
        <w:ind w:firstLine="567"/>
        <w:jc w:val="both"/>
      </w:pPr>
      <w:r>
        <w:rPr>
          <w:rFonts w:ascii="Arial" w:cs="Arial" w:eastAsia="Arial" w:hAnsi="Arial"/>
          <w:sz w:val="24"/>
          <w:szCs w:val="24"/>
        </w:rPr>
        <w:t xml:space="preserve">Вследствие реализации мер, предусмотренных в вышеперечисленных программных документах, валовой выпуск продукции сельского хозяйства, лесного хозяйства и рыболовства на 2025 г. прогнозируется в объеме 437,8 млрд. сомов, а темп реального прироста - на уровне 2,8%, за счет прироста в растениеводстве - на 3,3% и животноводстве - на 2,4%.</w:t>
      </w:r>
    </w:p>
    <w:p>
      <w:pPr>
        <w:spacing w:after="60"/>
        <w:ind w:firstLine="567"/>
        <w:jc w:val="both"/>
      </w:pPr>
      <w:r>
        <w:rPr>
          <w:rFonts w:ascii="Arial" w:cs="Arial" w:eastAsia="Arial" w:hAnsi="Arial"/>
          <w:sz w:val="24"/>
          <w:szCs w:val="24"/>
        </w:rPr>
        <w:t xml:space="preserve">Влияние сельского хозяйства на темпы экономического роста будет нейтральным и составит 0,3 процентного пункта, удельный вес в структуре производства ВВП - 8,4%.</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10</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Динамика темпов роста в сельском хозяйстве на 2024-2025 гг.</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91"/>
        <w:gridCol w:w="897"/>
        <w:gridCol w:w="897"/>
        <w:gridCol w:w="897"/>
        <w:gridCol w:w="897"/>
      </w:tblGrid>
      <w:tr>
        <w:tc>
          <w:tcPr>
            <w:tcW w:type="dxa" w:w="659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7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 ожид.</w:t>
            </w:r>
          </w:p>
        </w:tc>
        <w:tc>
          <w:tcPr>
            <w:tcW w:type="dxa" w:w="17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 прогноз</w:t>
            </w:r>
          </w:p>
        </w:tc>
      </w:tr>
      <w:tr>
        <w:tc>
          <w:tcPr>
            <w:vMerge w:val="continue"/>
            <w:tcBorders>
              <w:top w:val="single" w:color="CBBF9E" w:sz="4"/>
              <w:left w:val="single" w:color="CBBF9E" w:sz="4"/>
              <w:bottom w:val="single" w:color="CBBF9E" w:sz="4"/>
              <w:right w:val="single" w:color="CBBF9E" w:sz="4"/>
            </w:tcBorders>
          </w:tcP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6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сельского хозяйства, лесного хозяйства и рыболовства</w:t>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406022,5</w:t>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437802,9</w:t>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6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w:t>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199755,9</w:t>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219736,3</w:t>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6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w:t>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191562,0</w:t>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203150,3</w:t>
            </w:r>
          </w:p>
        </w:tc>
        <w:tc>
          <w:tcPr>
            <w:tcW w:type="dxa" w:w="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Растениеводство. Прогнозируемый рост производства продукции растениеводства на уровне 2,8 обусловлен планируемым увеличением производства следующих видов сельскохозяйственных культур:</w:t>
      </w:r>
    </w:p>
    <w:p>
      <w:pPr>
        <w:spacing w:after="60"/>
        <w:ind w:firstLine="567"/>
        <w:jc w:val="both"/>
      </w:pPr>
      <w:r>
        <w:rPr>
          <w:rFonts w:ascii="Arial" w:cs="Arial" w:eastAsia="Arial" w:hAnsi="Arial"/>
          <w:sz w:val="24"/>
          <w:szCs w:val="24"/>
        </w:rPr>
        <w:t xml:space="preserve">- производство зерновых и масличных культур прогнозируется увеличить на 1,7% и 16,4%, соответственно. Это объясняется улучшением сортов эффективных удобрений и средств защиты растений в связи с расширением посевных площадей за счет освоения новых земельных участков;</w:t>
      </w:r>
    </w:p>
    <w:p>
      <w:pPr>
        <w:spacing w:after="60"/>
        <w:ind w:firstLine="567"/>
        <w:jc w:val="both"/>
      </w:pPr>
      <w:r>
        <w:rPr>
          <w:rFonts w:ascii="Arial" w:cs="Arial" w:eastAsia="Arial" w:hAnsi="Arial"/>
          <w:sz w:val="24"/>
          <w:szCs w:val="24"/>
        </w:rPr>
        <w:t xml:space="preserve">- прогнозируется увеличение производства сахарной свеклы на 11,0% в связи с расширением посевных площадей до 15,0 тыс. га с целью обеспечения экономики страны сахаром за счет собственного производства. Это направлено на снижение зависимости от импорта сахара и обеспечение стабильного доступа к этому важному продукту для населения;</w:t>
      </w:r>
    </w:p>
    <w:p>
      <w:pPr>
        <w:spacing w:after="60"/>
        <w:ind w:firstLine="567"/>
        <w:jc w:val="both"/>
      </w:pPr>
      <w:r>
        <w:rPr>
          <w:rFonts w:ascii="Arial" w:cs="Arial" w:eastAsia="Arial" w:hAnsi="Arial"/>
          <w:sz w:val="24"/>
          <w:szCs w:val="24"/>
        </w:rPr>
        <w:t xml:space="preserve">- производство картофеля и овощей прогнозируется увеличить на 2,0% и 6,0% соответственно, с целью увеличения доли экспорта;</w:t>
      </w:r>
    </w:p>
    <w:p>
      <w:pPr>
        <w:spacing w:after="60"/>
        <w:ind w:firstLine="567"/>
        <w:jc w:val="both"/>
      </w:pPr>
      <w:r>
        <w:rPr>
          <w:rFonts w:ascii="Arial" w:cs="Arial" w:eastAsia="Arial" w:hAnsi="Arial"/>
          <w:sz w:val="24"/>
          <w:szCs w:val="24"/>
        </w:rPr>
        <w:t xml:space="preserve">- прогнозируется рост производства хлопка-сырца на 14,1% в связи с улучшением сортов хлопка, обладающих лучшими характеристиками и повышенной урожайностью и увеличение посевных площадей под хлопковые культуры на 2,0 га (12,5%) по сравнению с 2024 г.</w:t>
      </w:r>
    </w:p>
    <w:p>
      <w:pPr>
        <w:spacing w:after="60"/>
        <w:ind w:firstLine="567"/>
        <w:jc w:val="both"/>
      </w:pPr>
      <w:r>
        <w:rPr>
          <w:rFonts w:ascii="Arial" w:cs="Arial" w:eastAsia="Arial" w:hAnsi="Arial"/>
          <w:sz w:val="24"/>
          <w:szCs w:val="24"/>
        </w:rPr>
        <w:t xml:space="preserve">Прогнозируемые показатели роста обусловлены ожидаемым благоприятным воздействием природно-климатических условий и продолжением государственной поддержки сельскохозяйственных производителей. Также планируется продолжение государственной поддержки по обеспечению необходимой сельскохозяйственной техникой и удобрениями, а также развитие технического сектора сельского хозяйства и специализация регионов на выращивании технических культур, что способствует повышению благосостояния сельскохозяйственных производителей и укреплению экономики страны.</w:t>
      </w:r>
    </w:p>
    <w:p>
      <w:pPr>
        <w:spacing w:after="60"/>
        <w:ind w:firstLine="567"/>
        <w:jc w:val="both"/>
      </w:pPr>
      <w:r>
        <w:rPr>
          <w:rFonts w:ascii="Arial" w:cs="Arial" w:eastAsia="Arial" w:hAnsi="Arial"/>
          <w:sz w:val="24"/>
          <w:szCs w:val="24"/>
        </w:rPr>
        <w:t xml:space="preserve">Животноводство. Прирост производства продукции животноводства прогнозируется на уровне 2,4%, за счет обеспечения благополучия эпизоотической обстановки от острозаразных болезней, увеличения площадей многолетних трав в севообороте и рационального использования кормовых ресурсов пастбищ, а также внедрения инновационных технологий. При этом прогнозируемый рост производства мяса в живом весе составит 2,1%, что приведет к увеличению на 9,6 тыс. тонн (до 467,2 тыс. тонн) по сравнению с 2024 г. Производство молока прогнозируется увеличить на 2,6%, что приведет к росту на 47,3 тыс. тонн (до 1869,3 тыс. тонн), а производство яиц на 3,3, с увеличением на 23,3 млн. штук (до 730,9 млн. штук).</w:t>
      </w:r>
    </w:p>
    <w:p>
      <w:pPr>
        <w:spacing w:after="60"/>
        <w:ind w:firstLine="567"/>
        <w:jc w:val="both"/>
      </w:pPr>
      <w:r>
        <w:rPr>
          <w:rFonts w:ascii="Arial" w:cs="Arial" w:eastAsia="Arial" w:hAnsi="Arial"/>
          <w:sz w:val="24"/>
          <w:szCs w:val="24"/>
        </w:rPr>
        <w:t xml:space="preserve">Основные риски в данном секторе включают в себя неблагоприятные природно-климатические условия, истощение генофонда сельскохозяйственных животных, нестабильность цен на горюче-смазочные материалы, дефицит и дорогостоящие минеральные удобрения, нерациональное использование водных ресурсов при ирригационных работах, торговые барьеры и неблагоприятная эпизоотическая ситуация.</w:t>
      </w:r>
    </w:p>
    <w:p>
      <w:pPr>
        <w:spacing w:after="60" w:before="200"/>
        <w:ind w:firstLine="567"/>
        <w:jc w:val="left"/>
      </w:pPr>
      <w:r>
        <w:rPr>
          <w:rFonts w:ascii="Arial" w:cs="Arial" w:eastAsia="Arial" w:hAnsi="Arial"/>
          <w:b/>
          <w:bCs/>
          <w:sz w:val="24"/>
          <w:szCs w:val="24"/>
        </w:rPr>
        <w:t xml:space="preserve">6.1.2. Промышленность(3)</w:t>
      </w:r>
    </w:p>
    <w:p>
      <w:pPr>
        <w:spacing w:after="60"/>
        <w:ind w:firstLine="567"/>
        <w:jc w:val="both"/>
      </w:pPr>
      <w:r>
        <w:rPr>
          <w:rFonts w:ascii="Arial" w:cs="Arial" w:eastAsia="Arial" w:hAnsi="Arial"/>
          <w:sz w:val="24"/>
          <w:szCs w:val="24"/>
        </w:rPr>
        <w:t xml:space="preserve">Промышленность является одной из важнейших отраслей национальной экономики, оказывающей значительное влияние на экономический рост. Перспектива развития промышленности может быть обеспечена за счет структурной и секторальной перестройки, как на уровне отраслей, так и на уровне первичных хозяйствующих субъектов и достижения на этой базе гибкой, восприимчивой к рынку сферы, позволяющей повысить уровень экономической и продовольственной независимости республики на базе устойчивого развития промышленной отрасли. Это естественно предполагает образование новых предприятий, использующих новые наукоемкие и инновационные технологии, модернизацию и действующее техническое перевооружение, привлечение отечественных и иностранных инвестиций, совершенствование нормативной правовой базы, улучшение финансово-кредитной, налоговой, таможенной, инновационной и инвестиционной политики и других условий, способствующих дальнейшему развитию отраслей промышленности.</w:t>
      </w:r>
    </w:p>
    <w:p>
      <w:pPr>
        <w:spacing w:after="60"/>
        <w:ind w:firstLine="567"/>
        <w:jc w:val="both"/>
      </w:pPr>
      <w:r>
        <w:rPr>
          <w:rFonts w:ascii="Arial" w:cs="Arial" w:eastAsia="Arial" w:hAnsi="Arial"/>
          <w:sz w:val="24"/>
          <w:szCs w:val="24"/>
        </w:rPr>
        <w:t xml:space="preserve">Основная цель развития промышленной отрасли в перспективе - это обеспечение выпуска конкурентоспособной продукции, с тем, чтобы была возможность выйти на региональный рынок и произвести эффективную интеграцию промышленности Кыргызской Республики в региональные хозяйственные экономические связи.</w:t>
      </w:r>
    </w:p>
    <w:p>
      <w:pPr>
        <w:spacing w:after="60"/>
        <w:ind w:firstLine="567"/>
        <w:jc w:val="both"/>
      </w:pPr>
      <w:r>
        <w:rPr>
          <w:rFonts w:ascii="Arial" w:cs="Arial" w:eastAsia="Arial" w:hAnsi="Arial"/>
          <w:sz w:val="24"/>
          <w:szCs w:val="24"/>
        </w:rPr>
        <w:t xml:space="preserve">Несмотря на то, что доля промышленности в ВВП Кыргызской Республики составляет всего в среднем 17% (2020-2023 гг.), экспорт промышленной продукции составляет более 80% от общего объема экспорта страны, а объемы поступления иностранных инвестиций в данную отрасль составляет почти половину (49,4%) всех привлеченных инвестиций, составив в среднем более 3,0 млн. долл. США ежегодно с 2020 г. объемы освоения инвестиций в данную отрасль составляют более 30% всех инвестиций в основной капитал (более 45 млрд. сомов ежегодно). Промышленность остается важнейшей отраслью экономики с точки зрения отчислений в бюджет и обеспечения занятостью, число промышленных предприятий ежегодно растет (с 1972 ед. в 2020 г. до 2047 ед. в 2022 г.).</w:t>
      </w:r>
    </w:p>
    <w:p>
      <w:pPr>
        <w:spacing w:after="60"/>
        <w:ind w:firstLine="567"/>
        <w:jc w:val="both"/>
      </w:pPr>
      <w:r>
        <w:rPr>
          <w:rFonts w:ascii="Arial" w:cs="Arial" w:eastAsia="Arial" w:hAnsi="Arial"/>
          <w:sz w:val="24"/>
          <w:szCs w:val="24"/>
        </w:rPr>
        <w:t xml:space="preserve">Основная цель развития промышленности - достижение устойчивых темпов роста производства промышленной продукции на основе последовательного перехода на индустриально-инновационный путь развития, повышения эффективности производства и конкурентоспособности продукции.</w:t>
      </w:r>
    </w:p>
    <w:p>
      <w:pPr>
        <w:spacing w:after="60"/>
        <w:ind w:firstLine="567"/>
        <w:jc w:val="both"/>
      </w:pPr>
      <w:r>
        <w:rPr>
          <w:rFonts w:ascii="Arial" w:cs="Arial" w:eastAsia="Arial" w:hAnsi="Arial"/>
          <w:sz w:val="24"/>
          <w:szCs w:val="24"/>
        </w:rPr>
        <w:t xml:space="preserve">Развитие промышленного производства республики будет продолжено в рамках реализации Национальной стратегии развития Кыргызской Республики на 2018-2040 гг. (</w:t>
      </w:r>
      <w:hyperlink w:history="1" r:id="rIdk_ymjnh_sb2tbt5y4hbul">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Национальной стратегии развития Кыргызской Республики на 2018-2040 годы" от 31 октября 2018 г. № 221) и </w:t>
      </w:r>
      <w:hyperlink w:history="1" r:id="rIdopjy56mudzv4b1qy-kjhn">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развития Кыргызской Республики до 2026 г. (</w:t>
      </w:r>
      <w:hyperlink w:history="1" r:id="rIduauect-tofxzv0h7ugw5t">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w:t>
      </w:r>
      <w:hyperlink w:history="1" r:id="rIdbmuu9lzguxidlstzhpfkq">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 от 12 октября 2021 г. № 435).</w:t>
      </w:r>
    </w:p>
    <w:p>
      <w:pPr>
        <w:spacing w:after="60"/>
        <w:ind w:firstLine="567"/>
        <w:jc w:val="both"/>
      </w:pPr>
      <w:r>
        <w:rPr>
          <w:rFonts w:ascii="Arial" w:cs="Arial" w:eastAsia="Arial" w:hAnsi="Arial"/>
          <w:sz w:val="24"/>
          <w:szCs w:val="24"/>
        </w:rPr>
        <w:t xml:space="preserve">Основными направлениями будут являться:</w:t>
      </w:r>
    </w:p>
    <w:p>
      <w:pPr>
        <w:spacing w:after="60"/>
        <w:ind w:firstLine="567"/>
        <w:jc w:val="both"/>
      </w:pPr>
      <w:r>
        <w:rPr>
          <w:rFonts w:ascii="Arial" w:cs="Arial" w:eastAsia="Arial" w:hAnsi="Arial"/>
          <w:sz w:val="24"/>
          <w:szCs w:val="24"/>
        </w:rPr>
        <w:t xml:space="preserve">- формирование конкурентной среды, создание равных и предсказуемых условий экономической деятельности в промышленности;</w:t>
      </w:r>
    </w:p>
    <w:p>
      <w:pPr>
        <w:spacing w:after="60"/>
        <w:ind w:firstLine="567"/>
        <w:jc w:val="both"/>
      </w:pPr>
      <w:r>
        <w:rPr>
          <w:rFonts w:ascii="Arial" w:cs="Arial" w:eastAsia="Arial" w:hAnsi="Arial"/>
          <w:sz w:val="24"/>
          <w:szCs w:val="24"/>
        </w:rPr>
        <w:t xml:space="preserve">- широкая диверсификация производства, рациональное размещение предприятий, обеспечивающих баланс спроса и предложения;</w:t>
      </w:r>
    </w:p>
    <w:p>
      <w:pPr>
        <w:spacing w:after="60"/>
        <w:ind w:firstLine="567"/>
        <w:jc w:val="both"/>
      </w:pPr>
      <w:r>
        <w:rPr>
          <w:rFonts w:ascii="Arial" w:cs="Arial" w:eastAsia="Arial" w:hAnsi="Arial"/>
          <w:sz w:val="24"/>
          <w:szCs w:val="24"/>
        </w:rPr>
        <w:t xml:space="preserve">- импортозамещение для снижения зависимости от импорта, особенно в сфере продовольственной безопасности и производства комплектующих товаров и фурнитуры;</w:t>
      </w:r>
    </w:p>
    <w:p>
      <w:pPr>
        <w:spacing w:after="60"/>
        <w:ind w:firstLine="567"/>
        <w:jc w:val="both"/>
      </w:pPr>
      <w:r>
        <w:rPr>
          <w:rFonts w:ascii="Arial" w:cs="Arial" w:eastAsia="Arial" w:hAnsi="Arial"/>
          <w:sz w:val="24"/>
          <w:szCs w:val="24"/>
        </w:rPr>
        <w:t xml:space="preserve">- расширение выхода на внешние рынки и активному развитию торгово-экономических отношений с третьими странами и интеграционными объединениями;</w:t>
      </w:r>
    </w:p>
    <w:p>
      <w:pPr>
        <w:spacing w:after="60"/>
        <w:ind w:firstLine="567"/>
        <w:jc w:val="both"/>
      </w:pPr>
      <w:r>
        <w:rPr>
          <w:rFonts w:ascii="Arial" w:cs="Arial" w:eastAsia="Arial" w:hAnsi="Arial"/>
          <w:sz w:val="24"/>
          <w:szCs w:val="24"/>
        </w:rPr>
        <w:t xml:space="preserve">- глобализация деятельности, развитие взаимовыгодных отношений с потребителями, кооперация предприятий на национальном и межрегиональном уровнях;</w:t>
      </w:r>
    </w:p>
    <w:p>
      <w:pPr>
        <w:spacing w:after="60"/>
        <w:ind w:firstLine="567"/>
        <w:jc w:val="both"/>
      </w:pPr>
      <w:r>
        <w:rPr>
          <w:rFonts w:ascii="Arial" w:cs="Arial" w:eastAsia="Arial" w:hAnsi="Arial"/>
          <w:sz w:val="24"/>
          <w:szCs w:val="24"/>
        </w:rPr>
        <w:t xml:space="preserve">- обеспечение рентабельного производства и устойчивого финансового положения предприятий промышленности;</w:t>
      </w:r>
    </w:p>
    <w:p>
      <w:pPr>
        <w:spacing w:after="60"/>
        <w:ind w:firstLine="567"/>
        <w:jc w:val="both"/>
      </w:pPr>
      <w:r>
        <w:rPr>
          <w:rFonts w:ascii="Arial" w:cs="Arial" w:eastAsia="Arial" w:hAnsi="Arial"/>
          <w:sz w:val="24"/>
          <w:szCs w:val="24"/>
        </w:rPr>
        <w:t xml:space="preserve">- развитие высокотехнологичной сферы, опирающиеся, в первую очередь, на информационные технологии и искусственный интеллект, нано- и биоинженерные технологии, цифровую трансформацию;</w:t>
      </w:r>
    </w:p>
    <w:p>
      <w:pPr>
        <w:spacing w:after="60"/>
        <w:ind w:firstLine="567"/>
        <w:jc w:val="both"/>
      </w:pPr>
      <w:r>
        <w:rPr>
          <w:rFonts w:ascii="Arial" w:cs="Arial" w:eastAsia="Arial" w:hAnsi="Arial"/>
          <w:sz w:val="24"/>
          <w:szCs w:val="24"/>
        </w:rPr>
        <w:t xml:space="preserve">- повышение качества государственного регулирования при проведении промышленной политики.</w:t>
      </w:r>
    </w:p>
    <w:p>
      <w:pPr>
        <w:spacing w:after="60"/>
        <w:ind w:firstLine="567"/>
        <w:jc w:val="both"/>
      </w:pPr>
      <w:r>
        <w:rPr>
          <w:rFonts w:ascii="Arial" w:cs="Arial" w:eastAsia="Arial" w:hAnsi="Arial"/>
          <w:sz w:val="24"/>
          <w:szCs w:val="24"/>
        </w:rPr>
        <w:t xml:space="preserve">Особое внимание будет уделяться развитию промышленности в регионах с учетом их специализации по кластерам, определению конкретных мер поддержки промышленности в регионах с обеспечением доступа к финансированию, инфраструктурным и человеческим ресурсам.</w:t>
      </w:r>
    </w:p>
    <w:p>
      <w:pPr>
        <w:spacing w:after="60"/>
        <w:ind w:firstLine="567"/>
        <w:jc w:val="both"/>
      </w:pPr>
      <w:r>
        <w:rPr>
          <w:rFonts w:ascii="Arial" w:cs="Arial" w:eastAsia="Arial" w:hAnsi="Arial"/>
          <w:sz w:val="24"/>
          <w:szCs w:val="24"/>
        </w:rPr>
        <w:t xml:space="preserve">Для развития промышленного сектора будет продолжена деятельность по созданию и поддержке благоприятных условий, где мероприятия реализуются через программно-проектную модель. Разрабатываются шесть программ: переработка промышленных отходов, переработка сельскохозяйственной продукции, перевод швейной промышленности на контрактное производство, обработка металла, обработка базальта, сборка электромобилей. Будет расширена деятельность Акционерного общества "Кыргызиндустрия", которая в настоящее время реализует более 20 проектов, включает в себя производство пескоблока, керамзита, пошив специальной одежды и доспехов, производство медицинских пластырей и бинтов. Разрабатывается проект "Кыргызстан - цифровая долина", который направлен на производство электронных устройств и интеллектуальную торговлю.</w:t>
      </w:r>
    </w:p>
    <w:p>
      <w:pPr>
        <w:spacing w:after="60"/>
        <w:ind w:firstLine="567"/>
        <w:jc w:val="both"/>
      </w:pPr>
      <w:r>
        <w:rPr>
          <w:rFonts w:ascii="Arial" w:cs="Arial" w:eastAsia="Arial" w:hAnsi="Arial"/>
          <w:sz w:val="24"/>
          <w:szCs w:val="24"/>
        </w:rPr>
        <w:t xml:space="preserve">Предусмотрено завершение модернизации и введение в эксплуатацию промышленных предприятий: нефтеперерабатывающих заводов "Кыргыз Петролеум Компани" и "Джунда"; Водно-лампового завода, "Асыл-Таш" по производству строительных материалов, ГП "Бишкекский штамповочный завод", ГП "ДАН". Также ожидается запуск проекта по добыче и производству цемента на базе ОсОО "Курментыцемент" в Тюпском районе Иссык-Кульской области. В 2024 г. планируется запуск в эксплуатацию цементного завода ОсОО "Терек Таш" в Кеминском районе Чуйской области с очисткой золошлаковых отходов с мест захоронения в объеме не менее 300 тыс. тонн золы в г. для использования в производстве цемента.</w:t>
      </w:r>
    </w:p>
    <w:p>
      <w:pPr>
        <w:spacing w:after="60"/>
        <w:ind w:firstLine="567"/>
        <w:jc w:val="both"/>
      </w:pPr>
      <w:r>
        <w:rPr>
          <w:rFonts w:ascii="Arial" w:cs="Arial" w:eastAsia="Arial" w:hAnsi="Arial"/>
          <w:sz w:val="24"/>
          <w:szCs w:val="24"/>
        </w:rPr>
        <w:t xml:space="preserve">Приоритетным направлением работы в промышленном производстве будет создание сборочных производств и локализация иностранных предприятий с учетом включения отечественных материалов в производственный процесс, а также новых отраслей промышленности.</w:t>
      </w:r>
    </w:p>
    <w:p>
      <w:pPr>
        <w:spacing w:after="60"/>
        <w:ind w:firstLine="567"/>
        <w:jc w:val="both"/>
      </w:pPr>
      <w:r>
        <w:rPr>
          <w:rFonts w:ascii="Arial" w:cs="Arial" w:eastAsia="Arial" w:hAnsi="Arial"/>
          <w:sz w:val="24"/>
          <w:szCs w:val="24"/>
        </w:rPr>
        <w:t xml:space="preserve">В рамках кыргызско-узбекского сотрудничества реализовывается проект по сборке автомобильной и коммерческой техники в Кыргызской Республике. В рамках данного проекта будет организовано на начальном этапе крупноузловая сборка модельного ряда автомобильной и коммерческой техники Chevrolet и Isuzu с переходом на 6-й г. на мелкоузловую сборку. На сегодня строительство завода на стадии завершения, запуск которого планируется в 2-м квартале 2024 г. Сборка автотранспортных средств ожидается с 2024-2025 гг. в рамках реализации 1 этапа проекта ежегодно по 3000 автотранспортных средств.</w:t>
      </w:r>
    </w:p>
    <w:p>
      <w:pPr>
        <w:spacing w:after="60"/>
        <w:ind w:firstLine="567"/>
        <w:jc w:val="both"/>
      </w:pPr>
      <w:r>
        <w:rPr>
          <w:rFonts w:ascii="Arial" w:cs="Arial" w:eastAsia="Arial" w:hAnsi="Arial"/>
          <w:sz w:val="24"/>
          <w:szCs w:val="24"/>
        </w:rPr>
        <w:t xml:space="preserve">В целях реализации проекта о создании сборочного завода по производству тяжелых грузовиков и автомобилей специального назначения серии SHACMAN в Кыргызской Республике подписано 4-х стороннее Соглашение о создании сборочного завода по производству тяжелых грузовиков и автомобилей специального назначения серии SHACMAN в Кыргызской Республике между Шэньси Автомобильная группа Ко., Лтд. (КНР), Сиань Юаньчао Авиационные Технологии (КНР), ОАО "ТНК "Шумкар" (КР) и Китайская корпорация </w:t>
      </w:r>
      <w:r>
        <w:rPr>
          <w:rFonts w:ascii="Arial" w:cs="Arial" w:eastAsia="Arial" w:hAnsi="Arial"/>
          <w:sz w:val="24"/>
          <w:szCs w:val="24"/>
        </w:rPr>
        <w:t xml:space="preserve">CITIC</w:t>
      </w:r>
      <w:r>
        <w:rPr>
          <w:rFonts w:ascii="Arial" w:cs="Arial" w:eastAsia="Arial" w:hAnsi="Arial"/>
          <w:sz w:val="24"/>
          <w:szCs w:val="24"/>
        </w:rPr>
        <w:t xml:space="preserve"> Банк Сианьский филиал. В настоящее время в рамках указанного соглашения идут ремонтные работы на объекте для организации сборочного производства тяжелых грузовиков и автомобилей специального назначения серии SHACMAN.</w:t>
      </w:r>
    </w:p>
    <w:p>
      <w:pPr>
        <w:spacing w:after="60"/>
        <w:ind w:firstLine="567"/>
        <w:jc w:val="both"/>
      </w:pPr>
      <w:r>
        <w:rPr>
          <w:rFonts w:ascii="Arial" w:cs="Arial" w:eastAsia="Arial" w:hAnsi="Arial"/>
          <w:sz w:val="24"/>
          <w:szCs w:val="24"/>
        </w:rPr>
        <w:t xml:space="preserve">Для развития отечественной фармацевтической промышленности ведется работа с иностранными партнерами по организации импортозамещающих производств. На территории действующего завода ОсОО "Биовит" построен новый завод по производству высококачественных инфузионных растворов, ампул для инъекций и глазных капель, соответствующий GMP стандарту (надлежащая производственная практика). Ввод в эксплуатацию данного завода запланирован на середину 2024 г. с учетом процедур регистрации лекарственных средств, планируемых к выпуску. По плану завод будет работать круглосуточно 24/7, в целях обеспечения медицинских учреждений и населения необходимыми высококачественными лекарственными средствами в жидкой форме.</w:t>
      </w:r>
    </w:p>
    <w:p>
      <w:pPr>
        <w:spacing w:after="60"/>
        <w:ind w:firstLine="567"/>
        <w:jc w:val="both"/>
      </w:pPr>
      <w:r>
        <w:rPr>
          <w:rFonts w:ascii="Arial" w:cs="Arial" w:eastAsia="Arial" w:hAnsi="Arial"/>
          <w:sz w:val="24"/>
          <w:szCs w:val="24"/>
        </w:rPr>
        <w:t xml:space="preserve">Для увеличения объемов производства в легкой промышленности в 2024 г. планируется открытие II этапа строительства текстильной фабрики с увеличением производственной мощности ОсОО "Текстиль Транс" (г.Токмок). В 2025 г. предусматривается открытие хлопкоочистительного завода в промышленной зоне г.Токмок с производственной мощностью 12 тысяч тонн волокна в год. Ведется работа по организации в Ноокенском районе Джалал-Абадской области проекта "Организация современного текстильного комплекса по выпуску махровых изделий". Выделено 20 га земельного участка в Аральском айылном аймаке Ноокенского района Джалал-Абадской области. До 2026 г. предусматривается поэтапное строительство трикотажной фабрики по производству текстильного полотна с объемом производства 55-60 тонн в сутки, а также красильного производства пряжи и полотна - 55 тонн в сутки на базе промышленного парка ОсОО "Кыргыз Текстиль ЛТД" в г.Ош; планируется организация проекта по строительству текстильного производства "Global Textile Group" в Араванском районе Ошской области.</w:t>
      </w:r>
    </w:p>
    <w:p>
      <w:pPr>
        <w:spacing w:after="60"/>
        <w:ind w:firstLine="567"/>
        <w:jc w:val="both"/>
      </w:pPr>
      <w:r>
        <w:rPr>
          <w:rFonts w:ascii="Arial" w:cs="Arial" w:eastAsia="Arial" w:hAnsi="Arial"/>
          <w:sz w:val="24"/>
          <w:szCs w:val="24"/>
        </w:rPr>
        <w:t xml:space="preserve">С целью устойчивого развития энергетики, обеспечения энергетической безопасности страны и регионов, энергоэффективности реального сектора экономики, доступности энергоносителей для каждого потребителя будут реализованы основные направления: реконструкция и модернизация действующих и замена выбывающих мощностей с внедрением инновационных энергоэффективных технологий; строительство новых энергомощностей; проведение политики, направленной на устранение неэкономических барьеров, обеспечение прозрачных, предсказуемых и гибких стимулов для развития возобновляемой энергетики; внедрение современных систем учета электроэнергии; переход к экономически обоснованным тарифам.</w:t>
      </w:r>
    </w:p>
    <w:p>
      <w:pPr>
        <w:spacing w:after="60"/>
        <w:ind w:firstLine="567"/>
        <w:jc w:val="both"/>
      </w:pPr>
      <w:r>
        <w:rPr>
          <w:rFonts w:ascii="Arial" w:cs="Arial" w:eastAsia="Arial" w:hAnsi="Arial"/>
          <w:sz w:val="24"/>
          <w:szCs w:val="24"/>
        </w:rPr>
        <w:t xml:space="preserve">Развитие промышленности характеризуется значительными колебаниями темпов роста. Во многом эти колебания обусловлены высокой зависимостью сектора от работы золотодобывающих предприятий (доля в промышленности более 40% в 2023 г.), а также неустойчивой работы энергетической отрасли (доля в промышленности около 10%) из-за влияния природно-климатического фактора.</w:t>
      </w:r>
    </w:p>
    <w:p>
      <w:pPr>
        <w:spacing w:after="60"/>
        <w:ind w:firstLine="567"/>
        <w:jc w:val="both"/>
      </w:pPr>
      <w:r>
        <w:rPr>
          <w:rFonts w:ascii="Arial" w:cs="Arial" w:eastAsia="Arial" w:hAnsi="Arial"/>
          <w:sz w:val="24"/>
          <w:szCs w:val="24"/>
        </w:rPr>
        <w:t xml:space="preserve">В промышленном секторе на 2025 г. прогнозируется увеличение объема производства на 7,2%, без золота - на 6,3%.</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Таблица 11</w:t>
      </w:r>
    </w:p>
    <w:p>
      <w:pPr>
        <w:spacing w:after="60"/>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Динамика темпов роста в отраслях промышленности, в процентах к предыдущему г.(4)</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39"/>
        <w:gridCol w:w="782"/>
        <w:gridCol w:w="857"/>
      </w:tblGrid>
      <w:tr>
        <w:tc>
          <w:tcPr>
            <w:tcW w:type="dxa" w:w="853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w:t>
            </w:r>
          </w:p>
        </w:tc>
        <w:tc>
          <w:tcPr>
            <w:tcW w:type="dxa" w:w="8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w:t>
            </w:r>
          </w:p>
        </w:tc>
      </w:tr>
      <w:tr>
        <w:tc>
          <w:tcPr>
            <w:vMerge w:val="continue"/>
            <w:tcBorders>
              <w:top w:val="single" w:color="CBBF9E" w:sz="4"/>
              <w:left w:val="single" w:color="CBBF9E" w:sz="4"/>
              <w:bottom w:val="single" w:color="CBBF9E" w:sz="4"/>
              <w:right w:val="single" w:color="CBBF9E" w:sz="4"/>
            </w:tcBorders>
          </w:tcP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853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Промышленность, всего</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107,2</w:t>
            </w:r>
          </w:p>
        </w:tc>
      </w:tr>
      <w:tr>
        <w:tc>
          <w:tcPr>
            <w:tcW w:type="dxa" w:w="8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золота</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8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r>
      <w:tr>
        <w:tc>
          <w:tcPr>
            <w:tcW w:type="dxa" w:w="8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r>
      <w:tr>
        <w:tc>
          <w:tcPr>
            <w:tcW w:type="dxa" w:w="8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8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В целом положительный вклад промышленности в рост ВВП оценивается на уровне 1,1 п.п., с удельным весом в объеме ВВП 14,6%.</w:t>
      </w:r>
    </w:p>
    <w:p>
      <w:pPr>
        <w:spacing w:after="60"/>
        <w:ind w:firstLine="567"/>
        <w:jc w:val="both"/>
      </w:pPr>
      <w:r>
        <w:rPr>
          <w:rFonts w:ascii="Arial" w:cs="Arial" w:eastAsia="Arial" w:hAnsi="Arial"/>
          <w:sz w:val="24"/>
          <w:szCs w:val="24"/>
        </w:rPr>
        <w:t xml:space="preserve">Прогноз развития промышленности на 2025 г. учитывает следующие основные показатели развития его отраслей и предпосылок:</w:t>
      </w:r>
    </w:p>
    <w:p>
      <w:pPr>
        <w:spacing w:after="60"/>
        <w:ind w:firstLine="567"/>
        <w:jc w:val="both"/>
      </w:pPr>
      <w:r>
        <w:rPr>
          <w:rFonts w:ascii="Arial" w:cs="Arial" w:eastAsia="Arial" w:hAnsi="Arial"/>
          <w:sz w:val="24"/>
          <w:szCs w:val="24"/>
        </w:rPr>
        <w:t xml:space="preserve">1) В обрабатывающем производстве, с самым высоким удельным весом (75,9%) в производстве промышленной продукции, в 2025 г. прогнозируется реальный рост на 7,2%, который обусловлен, в основном, за счет:</w:t>
      </w:r>
    </w:p>
    <w:p>
      <w:pPr>
        <w:spacing w:after="60"/>
        <w:ind w:firstLine="567"/>
        <w:jc w:val="both"/>
      </w:pPr>
      <w:r>
        <w:rPr>
          <w:rFonts w:ascii="Arial" w:cs="Arial" w:eastAsia="Arial" w:hAnsi="Arial"/>
          <w:sz w:val="24"/>
          <w:szCs w:val="24"/>
        </w:rPr>
        <w:t xml:space="preserve">- роста производства продуктов (включая напитки) (удельный вес в общем объеме промышленности 16%), где прогнозируется прирост на 6,1% за счет устойчивой работы предприятий по производству хлеба, муки, молочных и мясных продуктов и др. продуктов питания, спрос на которые стабильный. Основными мерами для развития будут продолжение работы по созданию специальных лабораторий для определения качества сельскохозяйственной продукции животного и растительного происхождения, продуктов ее переработки, отвечающей требованиям международных стандартов, логистических центров, специализированных убойных цехов, продолжение льготного финансирования предприятий перерабатывающего производства. Кроме того, в целях достижения полной обеспеченности сахаром за счет собственного производства будут расширены посевные площади до 15 тыс. га, где прогнозируется увеличения производства сахарной свеклы на 9,6%;</w:t>
      </w:r>
    </w:p>
    <w:p>
      <w:pPr>
        <w:spacing w:after="60"/>
        <w:ind w:firstLine="567"/>
        <w:jc w:val="both"/>
      </w:pPr>
      <w:r>
        <w:rPr>
          <w:rFonts w:ascii="Arial" w:cs="Arial" w:eastAsia="Arial" w:hAnsi="Arial"/>
          <w:sz w:val="24"/>
          <w:szCs w:val="24"/>
        </w:rPr>
        <w:t xml:space="preserve">- роста объемов текстильного производства; производства одежды и обуви, кожи и прочих кожаных изделий (удельный вес в общем объеме промышленности - 4%) на 8,5% за счет освоения новых рынков сбыта, запуска новых предприятий и увеличения экспортных поставок;</w:t>
      </w:r>
    </w:p>
    <w:p>
      <w:pPr>
        <w:spacing w:after="60"/>
        <w:ind w:firstLine="567"/>
        <w:jc w:val="both"/>
      </w:pPr>
      <w:r>
        <w:rPr>
          <w:rFonts w:ascii="Arial" w:cs="Arial" w:eastAsia="Arial" w:hAnsi="Arial"/>
          <w:sz w:val="24"/>
          <w:szCs w:val="24"/>
        </w:rPr>
        <w:t xml:space="preserve">- роста объемов производства строительных материалов на 4,2%, удельный вес в общем объеме промышленности которого составит 8,4% за счет: (а) за счет максимальной загрузки производственной мощности ОсОО "Интергласс", где объем производства листового стекла достигнет 26,5 млн. кв.м за счет освоения новых рынков сбыта; (б) рост производства цемента и асбестоцементных изделий прогнозируется за счет наращивания мощностей ЗАО "Южно-Кыргызский Цемент", ОсОО "Южный комбинат строительных материалов", ОАО "Кантский цементный завод", ОсОО "Ак-Сай Цемент", запуска в эксплуатацию цементного завода ОсОО "Терек Таш", что позволит полностью покрыть потребность внутреннего рынка в цементе, а также наращивание производства на АООТ ОШ АК-ТАШ (Ошская обл., г.Ош) по производству строительных материалов - керамических строительных кирпичей, строительного гипса, выпуск дробленного песка и щебня, обработка камня за счет модернизации и реконструкции действующих кирпичных заводов. Состояние и перспективы развития производства прочих неметаллических минеральных продуктов в большей степени определяются развитием строительной отрасли и экспортными возможностями цементного и стекольного производства;</w:t>
      </w:r>
    </w:p>
    <w:p>
      <w:pPr>
        <w:spacing w:after="60"/>
        <w:ind w:firstLine="567"/>
        <w:jc w:val="both"/>
      </w:pPr>
      <w:r>
        <w:rPr>
          <w:rFonts w:ascii="Arial" w:cs="Arial" w:eastAsia="Arial" w:hAnsi="Arial"/>
          <w:sz w:val="24"/>
          <w:szCs w:val="24"/>
        </w:rPr>
        <w:t xml:space="preserve">- роста объемов производства нефтепродуктов на 5,6% за счет модернизации нефтеперерабатывающих заводов "Кыргыз Петролеум Компани" и "Джунда";</w:t>
      </w:r>
    </w:p>
    <w:p>
      <w:pPr>
        <w:spacing w:after="60"/>
        <w:ind w:firstLine="567"/>
        <w:jc w:val="both"/>
      </w:pPr>
      <w:r>
        <w:rPr>
          <w:rFonts w:ascii="Arial" w:cs="Arial" w:eastAsia="Arial" w:hAnsi="Arial"/>
          <w:sz w:val="24"/>
          <w:szCs w:val="24"/>
        </w:rPr>
        <w:t xml:space="preserve">- роста объемов производства основных металлов на 8,5% за счет наращивания объемов производства на месторождениях Кумтор и Джеруй. При этом на месторождении Кумтор прогнозируется увеличение объема производства основных металлов по сравнению с 2024 г. на 9% согласно производственному плану предприятия, а на месторождении Джеруй - на 2%. Кроме того ввод в эксплуатацию ОсОО "Эти Бакыр Терексай" позволит дать дополнительные объемы. При этом прогнозируется уменьшение объемов производства на месторождении Талды-Булак Левобережный на 5% за счет выхода на залежи с низким коэффициентом извлечения металла из руды;</w:t>
      </w:r>
    </w:p>
    <w:p>
      <w:pPr>
        <w:spacing w:after="60"/>
        <w:ind w:firstLine="567"/>
        <w:jc w:val="both"/>
      </w:pPr>
      <w:r>
        <w:rPr>
          <w:rFonts w:ascii="Arial" w:cs="Arial" w:eastAsia="Arial" w:hAnsi="Arial"/>
          <w:sz w:val="24"/>
          <w:szCs w:val="24"/>
        </w:rPr>
        <w:t xml:space="preserve">- роста объемов производства машин и оборудования на 5,4% и транспортных средств - на 8%; фармацевтической продукции - на 4%;</w:t>
      </w:r>
    </w:p>
    <w:p>
      <w:pPr>
        <w:spacing w:after="60"/>
        <w:ind w:firstLine="567"/>
        <w:jc w:val="both"/>
      </w:pPr>
      <w:r>
        <w:rPr>
          <w:rFonts w:ascii="Arial" w:cs="Arial" w:eastAsia="Arial" w:hAnsi="Arial"/>
          <w:sz w:val="24"/>
          <w:szCs w:val="24"/>
        </w:rPr>
        <w:t xml:space="preserve">- устойчивой работы предприятий по производству электрического оборудования и машин, деревянных и бумажных изделий; полиграфической деятельности, резиновых и пластмассовых изделий, компьютеров, электронного и оптического оборудования.</w:t>
      </w:r>
    </w:p>
    <w:p>
      <w:pPr>
        <w:spacing w:after="60"/>
        <w:ind w:firstLine="567"/>
        <w:jc w:val="both"/>
      </w:pPr>
      <w:r>
        <w:rPr>
          <w:rFonts w:ascii="Arial" w:cs="Arial" w:eastAsia="Arial" w:hAnsi="Arial"/>
          <w:sz w:val="24"/>
          <w:szCs w:val="24"/>
        </w:rPr>
        <w:t xml:space="preserve">2) В добыче полезных ископаемых (удельный вес 12,3% в объеме промышленного производства) в 2025 г. прирост объема производства прогнозируется на уровне 8,2%, в том числе добыча каменного и бурого угля увеличится на 7,6%, металлических руд - на 9,8%, сырой нефти и природного газа - на 3,5%.</w:t>
      </w:r>
    </w:p>
    <w:p>
      <w:pPr>
        <w:spacing w:after="60"/>
        <w:ind w:firstLine="567"/>
        <w:jc w:val="both"/>
      </w:pPr>
      <w:r>
        <w:rPr>
          <w:rFonts w:ascii="Arial" w:cs="Arial" w:eastAsia="Arial" w:hAnsi="Arial"/>
          <w:sz w:val="24"/>
          <w:szCs w:val="24"/>
        </w:rPr>
        <w:t xml:space="preserve">Прогнозируемый объем производства в данной отрасли ожидается за счет осуществления следующих мер:</w:t>
      </w:r>
    </w:p>
    <w:p>
      <w:pPr>
        <w:spacing w:after="60"/>
        <w:ind w:firstLine="567"/>
        <w:jc w:val="both"/>
      </w:pPr>
      <w:r>
        <w:rPr>
          <w:rFonts w:ascii="Arial" w:cs="Arial" w:eastAsia="Arial" w:hAnsi="Arial"/>
          <w:sz w:val="24"/>
          <w:szCs w:val="24"/>
        </w:rPr>
        <w:t xml:space="preserve">- дальнейшего развития мощностей предприятий, разрабатывающих Кавакское буроугольное месторождение, в том числе "Кара-Кече" и "Мин-Куш", расположенных в Нарынской области с привлечением инвестиций на разработку участка "Центральный" филиала ГП "Кыргызкомур", а также в развитие перспективных предприятий этого региона в целях наращивания объемов поставок кыргызского угля мелких фракций (штыбов) для использования на ТЭЦ г.Бишкек;</w:t>
      </w:r>
    </w:p>
    <w:p>
      <w:pPr>
        <w:spacing w:after="60"/>
        <w:ind w:firstLine="567"/>
        <w:jc w:val="both"/>
      </w:pPr>
      <w:r>
        <w:rPr>
          <w:rFonts w:ascii="Arial" w:cs="Arial" w:eastAsia="Arial" w:hAnsi="Arial"/>
          <w:sz w:val="24"/>
          <w:szCs w:val="24"/>
        </w:rPr>
        <w:t xml:space="preserve">- развитие горно-добычных работ на действующих угольных предприятиях северного и южного региона за счет привлечения инвестиций в модернизацию и обновление горно-шахтного оборудования, а также увеличение экспорта в соседние страны как Китай, Узбекистан и Таджикистан;</w:t>
      </w:r>
    </w:p>
    <w:p>
      <w:pPr>
        <w:spacing w:after="60"/>
        <w:ind w:firstLine="567"/>
        <w:jc w:val="both"/>
      </w:pPr>
      <w:r>
        <w:rPr>
          <w:rFonts w:ascii="Arial" w:cs="Arial" w:eastAsia="Arial" w:hAnsi="Arial"/>
          <w:sz w:val="24"/>
          <w:szCs w:val="24"/>
        </w:rPr>
        <w:t xml:space="preserve">- сохранение объемов добычи и поставок угля бюджетным потребителям, населению республики, а также на развивающиеся промышленные предприятия для использования в технологических целях, в частности на цементные предприятия южного региона;</w:t>
      </w:r>
    </w:p>
    <w:p>
      <w:pPr>
        <w:spacing w:after="60"/>
        <w:ind w:firstLine="567"/>
        <w:jc w:val="both"/>
      </w:pPr>
      <w:r>
        <w:rPr>
          <w:rFonts w:ascii="Arial" w:cs="Arial" w:eastAsia="Arial" w:hAnsi="Arial"/>
          <w:sz w:val="24"/>
          <w:szCs w:val="24"/>
        </w:rPr>
        <w:t xml:space="preserve">- усиление вскрышных работ на участке "Центральный" за счет привлечения дополнительной горнотранспортной техники и оборудования, что позволит обеспечить своевременное вскрытие угольного пласта и ритмичную поставку твердого топлива потребителям;</w:t>
      </w:r>
    </w:p>
    <w:p>
      <w:pPr>
        <w:spacing w:after="60"/>
        <w:ind w:firstLine="567"/>
        <w:jc w:val="both"/>
      </w:pPr>
      <w:r>
        <w:rPr>
          <w:rFonts w:ascii="Arial" w:cs="Arial" w:eastAsia="Arial" w:hAnsi="Arial"/>
          <w:sz w:val="24"/>
          <w:szCs w:val="24"/>
        </w:rPr>
        <w:t xml:space="preserve">- применение технологий горизонтального бурения скважин и интенсификации скважин;</w:t>
      </w:r>
    </w:p>
    <w:p>
      <w:pPr>
        <w:spacing w:after="60"/>
        <w:ind w:firstLine="567"/>
        <w:jc w:val="both"/>
      </w:pPr>
      <w:r>
        <w:rPr>
          <w:rFonts w:ascii="Arial" w:cs="Arial" w:eastAsia="Arial" w:hAnsi="Arial"/>
          <w:sz w:val="24"/>
          <w:szCs w:val="24"/>
        </w:rPr>
        <w:t xml:space="preserve">- разработка Ill-го пласта нефтегазового месторождения Майлу-Суу IV - Восточный Избаскент с бурением новых скважин;</w:t>
      </w:r>
    </w:p>
    <w:p>
      <w:pPr>
        <w:spacing w:after="60"/>
        <w:ind w:firstLine="567"/>
        <w:jc w:val="both"/>
      </w:pPr>
      <w:r>
        <w:rPr>
          <w:rFonts w:ascii="Arial" w:cs="Arial" w:eastAsia="Arial" w:hAnsi="Arial"/>
          <w:sz w:val="24"/>
          <w:szCs w:val="24"/>
        </w:rPr>
        <w:t xml:space="preserve">- ежегодное введение в эксплуатацию 20-25 новых скважин;</w:t>
      </w:r>
    </w:p>
    <w:p>
      <w:pPr>
        <w:spacing w:after="60"/>
        <w:ind w:firstLine="567"/>
        <w:jc w:val="both"/>
      </w:pPr>
      <w:r>
        <w:rPr>
          <w:rFonts w:ascii="Arial" w:cs="Arial" w:eastAsia="Arial" w:hAnsi="Arial"/>
          <w:sz w:val="24"/>
          <w:szCs w:val="24"/>
        </w:rPr>
        <w:t xml:space="preserve">- наращивания объемов добычи руды на месторождениях Бозымчак, Иштамберди, Жамгыр, Кара-Казык, Терек-Сай.</w:t>
      </w:r>
    </w:p>
    <w:p>
      <w:pPr>
        <w:spacing w:after="60"/>
        <w:ind w:firstLine="567"/>
        <w:jc w:val="both"/>
      </w:pPr>
      <w:r>
        <w:rPr>
          <w:rFonts w:ascii="Arial" w:cs="Arial" w:eastAsia="Arial" w:hAnsi="Arial"/>
          <w:sz w:val="24"/>
          <w:szCs w:val="24"/>
        </w:rPr>
        <w:t xml:space="preserve">3) В обеспечении (снабжении) электроэнергией, газом, паром и кондиционированным воздухом (удельный вес 10,8%) на 2025 г. прогнозируется прирост объемов на 6,5%.</w:t>
      </w:r>
    </w:p>
    <w:p>
      <w:pPr>
        <w:spacing w:after="60"/>
        <w:ind w:firstLine="567"/>
        <w:jc w:val="both"/>
      </w:pPr>
      <w:r>
        <w:rPr>
          <w:rFonts w:ascii="Arial" w:cs="Arial" w:eastAsia="Arial" w:hAnsi="Arial"/>
          <w:sz w:val="24"/>
          <w:szCs w:val="24"/>
        </w:rPr>
        <w:t xml:space="preserve">Расчет прогнозных показателей выполнен с учетом роста внутреннего потребления электроэнергии по представленным прогнозным заявкам, увеличения выработки электроэнергии, существующего наполнения Токтогульского водохранилища, увеличения объемов распределения газообразного топлива через системы газоснабжения.</w:t>
      </w:r>
    </w:p>
    <w:p>
      <w:pPr>
        <w:spacing w:after="60"/>
        <w:ind w:firstLine="567"/>
        <w:jc w:val="both"/>
      </w:pPr>
      <w:r>
        <w:rPr>
          <w:rFonts w:ascii="Arial" w:cs="Arial" w:eastAsia="Arial" w:hAnsi="Arial"/>
          <w:sz w:val="24"/>
          <w:szCs w:val="24"/>
        </w:rPr>
        <w:t xml:space="preserve">Выработка электроэнергии в республике во многом зависит от притока воды и объема ее запасов в Токтогульском водохранилище, а водные ресурсы имеют непредсказуемый характер. Наступил маловодный цикл приточности рек Кыргызской Республики, и соответственно, остро встают задачи о необходимости строгого лимитирования потребления электроэнергии по республике, увеличению выработки энергии на ТЭЦ г.Бишкек, а также рассматривается вопрос импорта электроэнергии из соседних государств на 2025 г. в объеме 3500 млн. кВт.ч.</w:t>
      </w:r>
    </w:p>
    <w:p>
      <w:pPr>
        <w:spacing w:after="60"/>
        <w:ind w:firstLine="567"/>
        <w:jc w:val="both"/>
      </w:pPr>
      <w:r>
        <w:rPr>
          <w:rFonts w:ascii="Arial" w:cs="Arial" w:eastAsia="Arial" w:hAnsi="Arial"/>
          <w:sz w:val="24"/>
          <w:szCs w:val="24"/>
        </w:rPr>
        <w:t xml:space="preserve">Планируется до 2026 г. увеличение генерирующих мощностей за счет реабилитации Токтогульской ГЭС, Камбар-Ата 2, Уч-Курганской ГЭС и Ат-Башинской ГЭС более чем на 400 МВт (- 430 МВт). В 2024 г. планируется ввести в эксплуатацию 25 малых ГЭС общей мощностью 109,8 МВт.</w:t>
      </w:r>
    </w:p>
    <w:p>
      <w:pPr>
        <w:spacing w:after="60"/>
        <w:ind w:firstLine="567"/>
        <w:jc w:val="both"/>
      </w:pPr>
      <w:r>
        <w:rPr>
          <w:rFonts w:ascii="Arial" w:cs="Arial" w:eastAsia="Arial" w:hAnsi="Arial"/>
          <w:sz w:val="24"/>
          <w:szCs w:val="24"/>
        </w:rPr>
        <w:t xml:space="preserve">Основные строительные работы по вводу в эксплуатацию малой ГЭС "Бала-Саруу" завершены. Мощность станции составляет 25 МВт, среднегодовая выработка электроэнергии 92 млн. кВтч, при этом режим работы этой станции определяется режимом орошения и сброса воды из Кировского гидроузла. Ввод в эксплуатацию ГЭС "Бала-Саруу" позволит обеспечить электроэнергией 3 района Таласской области: Манасский, Бакай-Атинский и Кара-Бууринский. Это примерно позволит обеспечить электроэнергией 28,9 тыс. семей и 1,2 тыс. учреждений.</w:t>
      </w:r>
    </w:p>
    <w:p>
      <w:pPr>
        <w:spacing w:after="60"/>
        <w:ind w:firstLine="567"/>
        <w:jc w:val="both"/>
      </w:pPr>
      <w:r>
        <w:rPr>
          <w:rFonts w:ascii="Arial" w:cs="Arial" w:eastAsia="Arial" w:hAnsi="Arial"/>
          <w:sz w:val="24"/>
          <w:szCs w:val="24"/>
        </w:rPr>
        <w:t xml:space="preserve">Также созданы благоприятные условия для развития ВИЭ. Ведутся работы по строительству ветряных и солнечных электростанций.</w:t>
      </w:r>
    </w:p>
    <w:p>
      <w:pPr>
        <w:spacing w:after="60"/>
        <w:ind w:firstLine="567"/>
        <w:jc w:val="both"/>
      </w:pPr>
      <w:r>
        <w:rPr>
          <w:rFonts w:ascii="Arial" w:cs="Arial" w:eastAsia="Arial" w:hAnsi="Arial"/>
          <w:sz w:val="24"/>
          <w:szCs w:val="24"/>
        </w:rPr>
        <w:t xml:space="preserve">На "Ат-Башинская ГЭС" увеличена мощность с 40 МВт до 45,7 МВт, что повысит производительность и эффективность станции.</w:t>
      </w:r>
    </w:p>
    <w:p>
      <w:pPr>
        <w:spacing w:after="60"/>
        <w:ind w:firstLine="567"/>
        <w:jc w:val="both"/>
      </w:pPr>
      <w:r>
        <w:rPr>
          <w:rFonts w:ascii="Arial" w:cs="Arial" w:eastAsia="Arial" w:hAnsi="Arial"/>
          <w:sz w:val="24"/>
          <w:szCs w:val="24"/>
        </w:rPr>
        <w:t xml:space="preserve">Реконструкция "Токтогульская ГЭС" позволила ввести в эксплуатацию 2-й и 4-й гидроагрегаты с дополнительным увеличением мощности на 120 МВт. В течение следующих 2 лет планируется ввести в эксплуатацию гидроагрегаты ГА-1 и ГА-3, в результате чего общая мощность увеличится дополнительно на 240 МВт.</w:t>
      </w:r>
    </w:p>
    <w:p>
      <w:pPr>
        <w:spacing w:after="60"/>
        <w:ind w:firstLine="567"/>
        <w:jc w:val="both"/>
      </w:pPr>
      <w:r>
        <w:rPr>
          <w:rFonts w:ascii="Arial" w:cs="Arial" w:eastAsia="Arial" w:hAnsi="Arial"/>
          <w:sz w:val="24"/>
          <w:szCs w:val="24"/>
        </w:rPr>
        <w:t xml:space="preserve">С 2024 г. начнутся работы по замене гидроагрегатов Уч-Коргонской ГЭС, планируется монтаж 4-го гидроагрегата. Ожидается, что после завершения полной модернизации общая мощность вырастет до 36 МВт. Ожидается также увеличение срока эксплуатации ГЭС на 35-40 лет (ГЭС эксплуатируется с 1956 г. оборудование полностью устарело).</w:t>
      </w:r>
    </w:p>
    <w:p>
      <w:pPr>
        <w:spacing w:after="60"/>
        <w:ind w:firstLine="567"/>
        <w:jc w:val="both"/>
      </w:pPr>
      <w:r>
        <w:rPr>
          <w:rFonts w:ascii="Arial" w:cs="Arial" w:eastAsia="Arial" w:hAnsi="Arial"/>
          <w:sz w:val="24"/>
          <w:szCs w:val="24"/>
        </w:rPr>
        <w:t xml:space="preserve">После реконструкции Лебединовской ГЭС установленная мощность ГЭС увеличится с 7,6 МВт до 9,2 МВт.</w:t>
      </w:r>
    </w:p>
    <w:p>
      <w:pPr>
        <w:spacing w:after="60"/>
        <w:ind w:firstLine="567"/>
        <w:jc w:val="both"/>
      </w:pPr>
      <w:r>
        <w:rPr>
          <w:rFonts w:ascii="Arial" w:cs="Arial" w:eastAsia="Arial" w:hAnsi="Arial"/>
          <w:sz w:val="24"/>
          <w:szCs w:val="24"/>
        </w:rPr>
        <w:t xml:space="preserve">В результате выработка электроэнергии на 2025 г. прогнозируется в объеме 15234,1 млн. кВт.ч. и увеличится по сравнению с ожидаемым показателем 2024 г. на 7,5%.</w:t>
      </w:r>
    </w:p>
    <w:p>
      <w:pPr>
        <w:spacing w:after="60"/>
        <w:ind w:firstLine="567"/>
        <w:jc w:val="both"/>
      </w:pPr>
      <w:r>
        <w:rPr>
          <w:rFonts w:ascii="Arial" w:cs="Arial" w:eastAsia="Arial" w:hAnsi="Arial"/>
          <w:sz w:val="24"/>
          <w:szCs w:val="24"/>
        </w:rPr>
        <w:t xml:space="preserve">Выработка тепловой энергии прогнозируется в размере 4967,7 тыс. Гкал и зависит от климатических условий прогнозируемого периода.</w:t>
      </w:r>
    </w:p>
    <w:p>
      <w:pPr>
        <w:spacing w:after="60"/>
        <w:ind w:firstLine="567"/>
        <w:jc w:val="both"/>
      </w:pPr>
      <w:r>
        <w:rPr>
          <w:rFonts w:ascii="Arial" w:cs="Arial" w:eastAsia="Arial" w:hAnsi="Arial"/>
          <w:sz w:val="24"/>
          <w:szCs w:val="24"/>
        </w:rPr>
        <w:t xml:space="preserve">Разработанная ОАО "Газпром" (Российская Федерация) Генеральная схема газоснабжения и газификации Кыргызской Республики до 2030 г. предусматривает масштабную реконструкцию и модернизацию газотранспортных маршрутов Кыргызской Республики, а также объектов подземного хранения и распределения газа. В рамках Генеральной схемы планируется создание мощности для транспортировки газа на юг республики и автономной газификации отдельных районов страны.</w:t>
      </w:r>
    </w:p>
    <w:p>
      <w:pPr>
        <w:spacing w:after="60"/>
        <w:ind w:firstLine="567"/>
        <w:jc w:val="both"/>
      </w:pPr>
      <w:r>
        <w:rPr>
          <w:rFonts w:ascii="Arial" w:cs="Arial" w:eastAsia="Arial" w:hAnsi="Arial"/>
          <w:sz w:val="24"/>
          <w:szCs w:val="24"/>
        </w:rPr>
        <w:t xml:space="preserve">Всего на 2025 г. поступление природного газа в Кыргызскую Республику прогнозируется в объеме 467,1 млн. м</w:t>
      </w:r>
      <w:r>
        <w:rPr>
          <w:rFonts w:ascii="Arial" w:cs="Arial" w:eastAsia="Arial" w:hAnsi="Arial"/>
          <w:sz w:val="24"/>
          <w:szCs w:val="24"/>
        </w:rPr>
        <w:t xml:space="preserve">3</w:t>
      </w:r>
      <w:r>
        <w:rPr>
          <w:rFonts w:ascii="Arial" w:cs="Arial" w:eastAsia="Arial" w:hAnsi="Arial"/>
          <w:sz w:val="24"/>
          <w:szCs w:val="24"/>
        </w:rPr>
        <w:t xml:space="preserve">, что на 2,5% больше по сравнению с 2024 г., что позволит увеличить объем услуг по распределению газообразного топлива через системы газоснабжения на 3,0%.</w:t>
      </w:r>
    </w:p>
    <w:p>
      <w:pPr>
        <w:spacing w:after="60"/>
        <w:ind w:firstLine="567"/>
        <w:jc w:val="both"/>
      </w:pPr>
      <w:r>
        <w:rPr>
          <w:rFonts w:ascii="Arial" w:cs="Arial" w:eastAsia="Arial" w:hAnsi="Arial"/>
          <w:sz w:val="24"/>
          <w:szCs w:val="24"/>
        </w:rPr>
        <w:t xml:space="preserve">Газификация регионов республики совместно с увеличением добычи угля позволит диверсифицировать топливно-энергетический баланс, уменьшить зависимость республики от одного источника энергии, сократит нагрузку на электрические сети в зимний период.</w:t>
      </w:r>
    </w:p>
    <w:p>
      <w:pPr>
        <w:spacing w:after="60"/>
        <w:ind w:firstLine="567"/>
        <w:jc w:val="both"/>
      </w:pPr>
      <w:r>
        <w:rPr>
          <w:rFonts w:ascii="Arial" w:cs="Arial" w:eastAsia="Arial" w:hAnsi="Arial"/>
          <w:sz w:val="24"/>
          <w:szCs w:val="24"/>
        </w:rPr>
        <w:t xml:space="preserve">4) Водоснабжение, очистка, обработка отходов и получение вторичного сырья в структуре промышленности занимают незначительный удельный вес (1,0%), прогнозируется реальный рост на уровне 4,8% за счет роста объемов сбора, обработки и распределения воды (водоснабжение) на 5,6%, сбора, обработки и уничтожения отходов, получения вторичного сырья - на 2,5% и проведения обеззараживания и прочей обработки отходов - на 5,0%.</w:t>
      </w:r>
    </w:p>
    <w:p>
      <w:pPr>
        <w:spacing w:after="60"/>
        <w:ind w:firstLine="567"/>
        <w:jc w:val="both"/>
      </w:pPr>
      <w:r>
        <w:rPr>
          <w:rFonts w:ascii="Arial" w:cs="Arial" w:eastAsia="Arial" w:hAnsi="Arial"/>
          <w:sz w:val="24"/>
          <w:szCs w:val="24"/>
        </w:rPr>
        <w:t xml:space="preserve">Возможными рисками являются: инвестиционная непривлекательность предприятий промышленной отрасли из-за непредсказуемости бизнес-среды (отсталые технологии, низкий уровень рентабельности, процедуры предоставления земельных участков под недропользование, конфликты местного населения с инвесторами, и т.д.); перебои в подаче электроэнергии; необеспеченность сырьем нефтеперерабатывающих предприятий; перебои/недостаток в обеспечении источниками финансирования запланированных капитальных вложений в энергетике, горной добыче; неэффективный менеджмент и недостаток оборотных средств и т.д.</w:t>
      </w:r>
    </w:p>
    <w:p>
      <w:pPr>
        <w:spacing w:after="60" w:before="200"/>
        <w:ind w:firstLine="567"/>
        <w:jc w:val="left"/>
      </w:pPr>
      <w:r>
        <w:rPr>
          <w:rFonts w:ascii="Arial" w:cs="Arial" w:eastAsia="Arial" w:hAnsi="Arial"/>
          <w:b/>
          <w:bCs/>
          <w:sz w:val="24"/>
          <w:szCs w:val="24"/>
        </w:rPr>
        <w:t xml:space="preserve">6.1.3. Строительство</w:t>
      </w:r>
    </w:p>
    <w:p>
      <w:pPr>
        <w:spacing w:after="60"/>
        <w:ind w:firstLine="567"/>
        <w:jc w:val="both"/>
      </w:pPr>
      <w:r>
        <w:rPr>
          <w:rFonts w:ascii="Arial" w:cs="Arial" w:eastAsia="Arial" w:hAnsi="Arial"/>
          <w:sz w:val="24"/>
          <w:szCs w:val="24"/>
        </w:rPr>
        <w:t xml:space="preserve">Государственная политика и государственное регулирование градостроительного развития, определение перспектив развития строительной отрасли будут проводиться в рамках реализации Стратегии развития строительной отрасли Кыргызской Республики на 2020-2030 гг. (</w:t>
      </w:r>
      <w:hyperlink w:history="1" r:id="rIdmpofmxnl2nykxwyszvwu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q0ea-t3n7oazguym9v1mu">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развития строительной отрасли Кыргызской Республики на 2020-2030 годы" от 17 января 2020 г. № 14).</w:t>
      </w:r>
    </w:p>
    <w:p>
      <w:pPr>
        <w:spacing w:after="60"/>
        <w:ind w:firstLine="567"/>
        <w:jc w:val="both"/>
      </w:pPr>
      <w:r>
        <w:rPr>
          <w:rFonts w:ascii="Arial" w:cs="Arial" w:eastAsia="Arial" w:hAnsi="Arial"/>
          <w:sz w:val="24"/>
          <w:szCs w:val="24"/>
        </w:rPr>
        <w:t xml:space="preserve">Приоритетными направлениями будут:</w:t>
      </w:r>
    </w:p>
    <w:p>
      <w:pPr>
        <w:spacing w:after="60"/>
        <w:ind w:firstLine="567"/>
        <w:jc w:val="both"/>
      </w:pPr>
      <w:r>
        <w:rPr>
          <w:rFonts w:ascii="Arial" w:cs="Arial" w:eastAsia="Arial" w:hAnsi="Arial"/>
          <w:sz w:val="24"/>
          <w:szCs w:val="24"/>
        </w:rPr>
        <w:t xml:space="preserve">- развитие производственного потенциала в строительстве и производство строительных материалов;</w:t>
      </w:r>
    </w:p>
    <w:p>
      <w:pPr>
        <w:spacing w:after="60"/>
        <w:ind w:firstLine="567"/>
        <w:jc w:val="both"/>
      </w:pPr>
      <w:r>
        <w:rPr>
          <w:rFonts w:ascii="Arial" w:cs="Arial" w:eastAsia="Arial" w:hAnsi="Arial"/>
          <w:sz w:val="24"/>
          <w:szCs w:val="24"/>
        </w:rPr>
        <w:t xml:space="preserve">- рациональное и сбалансированное природопользование;</w:t>
      </w:r>
    </w:p>
    <w:p>
      <w:pPr>
        <w:spacing w:after="60"/>
        <w:ind w:firstLine="567"/>
        <w:jc w:val="both"/>
      </w:pPr>
      <w:r>
        <w:rPr>
          <w:rFonts w:ascii="Arial" w:cs="Arial" w:eastAsia="Arial" w:hAnsi="Arial"/>
          <w:sz w:val="24"/>
          <w:szCs w:val="24"/>
        </w:rPr>
        <w:t xml:space="preserve">- обеспечение населения жильем, объектами образования, здравоохранения, культуры и спорта;</w:t>
      </w:r>
    </w:p>
    <w:p>
      <w:pPr>
        <w:spacing w:after="60"/>
        <w:ind w:firstLine="567"/>
        <w:jc w:val="both"/>
      </w:pPr>
      <w:r>
        <w:rPr>
          <w:rFonts w:ascii="Arial" w:cs="Arial" w:eastAsia="Arial" w:hAnsi="Arial"/>
          <w:sz w:val="24"/>
          <w:szCs w:val="24"/>
        </w:rPr>
        <w:t xml:space="preserve">- обеспечение культурного и национального своеобразия в архитектуре и строительстве;</w:t>
      </w:r>
    </w:p>
    <w:p>
      <w:pPr>
        <w:spacing w:after="60"/>
        <w:ind w:firstLine="567"/>
        <w:jc w:val="both"/>
      </w:pPr>
      <w:r>
        <w:rPr>
          <w:rFonts w:ascii="Arial" w:cs="Arial" w:eastAsia="Arial" w:hAnsi="Arial"/>
          <w:sz w:val="24"/>
          <w:szCs w:val="24"/>
        </w:rPr>
        <w:t xml:space="preserve">- регулирование инновационных направлений науки, техники и технологий в строительстве;</w:t>
      </w:r>
    </w:p>
    <w:p>
      <w:pPr>
        <w:spacing w:after="60"/>
        <w:ind w:firstLine="567"/>
        <w:jc w:val="both"/>
      </w:pPr>
      <w:r>
        <w:rPr>
          <w:rFonts w:ascii="Arial" w:cs="Arial" w:eastAsia="Arial" w:hAnsi="Arial"/>
          <w:sz w:val="24"/>
          <w:szCs w:val="24"/>
        </w:rPr>
        <w:t xml:space="preserve">- координация деятельности государственных органов, органов местного самоуправления и территориальных органов архитектуры и градостроительства, в части градостроительного развития, обустройства и благоустройства территорий населенных пунктов.</w:t>
      </w:r>
    </w:p>
    <w:p>
      <w:pPr>
        <w:spacing w:after="60"/>
        <w:ind w:firstLine="567"/>
        <w:jc w:val="both"/>
      </w:pPr>
      <w:r>
        <w:rPr>
          <w:rFonts w:ascii="Arial" w:cs="Arial" w:eastAsia="Arial" w:hAnsi="Arial"/>
          <w:sz w:val="24"/>
          <w:szCs w:val="24"/>
        </w:rPr>
        <w:t xml:space="preserve">Развитие строительной отрасли является одним из значимых направлений, обеспечивающих рост национальной экономики за счет реализации крупных инвестиционных проектов. В результате принятия комплексных мер развития в строительном комплексе страны прогнозируется увеличение капитальных вложений на 13,7%, объемы которых составят 263,4 млрд. сомов.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12</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Динамика темпов роста в строительной отрасли на 2024-2025 гг.</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56"/>
        <w:gridCol w:w="1662"/>
        <w:gridCol w:w="1662"/>
        <w:gridCol w:w="1249"/>
        <w:gridCol w:w="1249"/>
      </w:tblGrid>
      <w:tr>
        <w:tc>
          <w:tcPr>
            <w:tcW w:type="dxa" w:w="435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3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 ожидаемое</w:t>
            </w:r>
          </w:p>
        </w:tc>
        <w:tc>
          <w:tcPr>
            <w:tcW w:type="dxa" w:w="24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 прогноз</w:t>
            </w:r>
          </w:p>
        </w:tc>
      </w:tr>
      <w:tr>
        <w:tc>
          <w:tcPr>
            <w:vMerge w:val="continue"/>
            <w:tcBorders>
              <w:top w:val="single" w:color="CBBF9E" w:sz="4"/>
              <w:left w:val="single" w:color="CBBF9E" w:sz="4"/>
              <w:bottom w:val="single" w:color="CBBF9E" w:sz="4"/>
              <w:right w:val="single" w:color="CBBF9E" w:sz="4"/>
            </w:tcBorders>
          </w:tcPr>
          <w:p/>
        </w:tc>
        <w:tc>
          <w:tcPr>
            <w:tcW w:type="dxa" w:w="1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2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2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4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1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221716,0</w:t>
            </w:r>
          </w:p>
        </w:tc>
        <w:tc>
          <w:tcPr>
            <w:tcW w:type="dxa" w:w="1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128,1</w:t>
            </w:r>
          </w:p>
        </w:tc>
        <w:tc>
          <w:tcPr>
            <w:tcW w:type="dxa" w:w="1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263358,1</w:t>
            </w:r>
          </w:p>
        </w:tc>
        <w:tc>
          <w:tcPr>
            <w:tcW w:type="dxa" w:w="1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r>
      <w:tr>
        <w:tc>
          <w:tcPr>
            <w:tcW w:type="dxa" w:w="4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1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167438,8</w:t>
            </w:r>
          </w:p>
        </w:tc>
        <w:tc>
          <w:tcPr>
            <w:tcW w:type="dxa" w:w="1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1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204044,5</w:t>
            </w:r>
          </w:p>
        </w:tc>
        <w:tc>
          <w:tcPr>
            <w:tcW w:type="dxa" w:w="1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116,6</w:t>
            </w:r>
          </w:p>
        </w:tc>
      </w:tr>
      <w:tr>
        <w:tc>
          <w:tcPr>
            <w:tcW w:type="dxa" w:w="4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1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54277,2</w:t>
            </w:r>
          </w:p>
        </w:tc>
        <w:tc>
          <w:tcPr>
            <w:tcW w:type="dxa" w:w="1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194,7</w:t>
            </w:r>
          </w:p>
        </w:tc>
        <w:tc>
          <w:tcPr>
            <w:tcW w:type="dxa" w:w="1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59313,6</w:t>
            </w:r>
          </w:p>
        </w:tc>
        <w:tc>
          <w:tcPr>
            <w:tcW w:type="dxa" w:w="1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r>
      <w:tr>
        <w:tc>
          <w:tcPr>
            <w:tcW w:type="dxa" w:w="4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w:t>
            </w:r>
          </w:p>
        </w:tc>
        <w:tc>
          <w:tcPr>
            <w:tcW w:type="dxa" w:w="1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241440,2</w:t>
            </w:r>
          </w:p>
        </w:tc>
        <w:tc>
          <w:tcPr>
            <w:tcW w:type="dxa" w:w="1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w:t>
            </w:r>
          </w:p>
        </w:tc>
        <w:tc>
          <w:tcPr>
            <w:tcW w:type="dxa" w:w="1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278292,4</w:t>
            </w:r>
          </w:p>
        </w:tc>
        <w:tc>
          <w:tcPr>
            <w:tcW w:type="dxa" w:w="12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Структура капитальных вложений, относительно ожидаемых в 2024 г., изменится в сторону увеличения доли внутренних инвестиций с 75,5% до 77,5% (основную долю занимают средства предприятий, организаций и населения, составляющие более 70%) и снижения доли внешних инвестиций с 24,5% до 22,5%.</w:t>
      </w:r>
    </w:p>
    <w:p>
      <w:pPr>
        <w:spacing w:after="60"/>
        <w:ind w:firstLine="567"/>
        <w:jc w:val="both"/>
      </w:pPr>
      <w:r>
        <w:rPr>
          <w:rFonts w:ascii="Arial" w:cs="Arial" w:eastAsia="Arial" w:hAnsi="Arial"/>
          <w:sz w:val="24"/>
          <w:szCs w:val="24"/>
        </w:rPr>
        <w:t xml:space="preserve">Приоритетными направлениями в строительстве будут: объекты строительства индивидуального жилья, объекты транспортной магистрали и энергетики (работы по строительству линий электропередачи), объекты сельского хозяйства (ирригационные сооружения) и т.д.</w:t>
      </w:r>
    </w:p>
    <w:p>
      <w:pPr>
        <w:spacing w:after="60"/>
        <w:ind w:firstLine="567"/>
        <w:jc w:val="both"/>
      </w:pPr>
      <w:r>
        <w:rPr>
          <w:rFonts w:ascii="Arial" w:cs="Arial" w:eastAsia="Arial" w:hAnsi="Arial"/>
          <w:sz w:val="24"/>
          <w:szCs w:val="24"/>
        </w:rPr>
        <w:t xml:space="preserve">Ожидается поступление финансовых средств за счет капитальных вложений из республиканского бюджета в сумме 8000,0 млн. сомов, которые в первую очередь, будут направлены на завершение ранее начатых объектов строительства и их сдачу в эксплуатацию, развитие автомобильных дорог стратегического значения и автодорог, находящихся в приграничных районах в республики в целом, в соответствии с государственной программой строительства водохозяйственных сооружений, ирригационных каналов, что позволит осваивать значительные площади новых орошаемых земель в регионах страны и на другие объекты строительства и реконструкции с учетом концепции регионального развития и отраслевых экономических программ.</w:t>
      </w:r>
    </w:p>
    <w:p>
      <w:pPr>
        <w:spacing w:after="60"/>
        <w:ind w:firstLine="567"/>
        <w:jc w:val="both"/>
      </w:pPr>
      <w:r>
        <w:rPr>
          <w:rFonts w:ascii="Arial" w:cs="Arial" w:eastAsia="Arial" w:hAnsi="Arial"/>
          <w:sz w:val="24"/>
          <w:szCs w:val="24"/>
        </w:rPr>
        <w:t xml:space="preserve">Прогнозные объемы капитальных вложений за счет средств предприятий и организаций в сумме 99,6 млрд. сомов будут сформированы за счет инвестиций ЗАО "Кумтор Голд Компани" (8,2 млрд. сомов), ОАО "Кыргызалтын" и других.</w:t>
      </w:r>
    </w:p>
    <w:p>
      <w:pPr>
        <w:spacing w:after="60"/>
        <w:ind w:firstLine="567"/>
        <w:jc w:val="both"/>
      </w:pPr>
      <w:r>
        <w:rPr>
          <w:rFonts w:ascii="Arial" w:cs="Arial" w:eastAsia="Arial" w:hAnsi="Arial"/>
          <w:sz w:val="24"/>
          <w:szCs w:val="24"/>
        </w:rPr>
        <w:t xml:space="preserve">В 2025 г. будут реализованы крупные инвестиционные проекты в энергетической и транспортной отраслях, которые внесут основной вклад в развитие строительства.</w:t>
      </w:r>
    </w:p>
    <w:p>
      <w:pPr>
        <w:spacing w:after="60"/>
        <w:ind w:firstLine="567"/>
        <w:jc w:val="both"/>
      </w:pPr>
      <w:r>
        <w:rPr>
          <w:rFonts w:ascii="Arial" w:cs="Arial" w:eastAsia="Arial" w:hAnsi="Arial"/>
          <w:sz w:val="24"/>
          <w:szCs w:val="24"/>
        </w:rPr>
        <w:t xml:space="preserve">Наибольшие объемы финансирования предусмотрены в секторе транспорта - всего в размере 15,4 млрд. сомов (29,1% от всех государственных инвестиций), которые ожидаются за счет проекта "Реабилитация автодороги Тараз - Талас - Суусамыр, Фаза 4, км 104-197,5" (1,3 млрд. сомов - АКГ, СФР, ОПЕК, ИБР), проекта реабилитации кольцевой автодороги Балыкчы - Каракол - Балыкчы (уч. Корумду - Балбай Баатыр) (3,4 млрд. сомов - АКГ, ИБР, СФР, КФАЭР, ОПЕК), проекта "Улучшение коридора ЦАРЭС 3 (автодорога Бишкек - Ош, участок Бишкек - Кара-Балта)" Фаза 4 (146,6 млн. сомов - АБР), проекта "Улучшение дорожных путей сообщения в ЦА" Фаза 3 (дорога Тюп - Кеген) (679,4 млн. сомов - ВБ), проекта "Соединительной дороги, коридоры ЦАРЭС 1 и ЦАРЭС 3" (386,2 млн. сомов - АБР), проектов "Улучшение основных международных дорог" (7,4 млрд. сомов - JICA), "Реконструкция моста через реку Урмарал на автодороге Талас - Тараз" (0,7 млн. сомов - JICA) и других, в дальнейшем обеспечат растущие потребности в пассажирских и грузовых перевозках.</w:t>
      </w:r>
    </w:p>
    <w:p>
      <w:pPr>
        <w:spacing w:after="60"/>
        <w:ind w:firstLine="567"/>
        <w:jc w:val="both"/>
      </w:pPr>
      <w:r>
        <w:rPr>
          <w:rFonts w:ascii="Arial" w:cs="Arial" w:eastAsia="Arial" w:hAnsi="Arial"/>
          <w:sz w:val="24"/>
          <w:szCs w:val="24"/>
        </w:rPr>
        <w:t xml:space="preserve">В энергетической отрасли объемы финансирования предусмотрены в сумме 7,4 млрд. сомов (14,1% от всех государственных инвестиций), которые ожидаются за счет реализации проектов: "Ввод в эксплуатации второго гидроагрегата Камбаратинской ГЭС-2" (2,9 млрд. сомов - ЕАБР), "Реабилитация Токтогульской ГЭС, Фаза II" (498,5 млн. сомов - АБР, ЕАБР), "Реабилитация Токтогульской ГЭС, Фаза III" (988,5 млн. сомов - АБР), "Модернизация Уч-Курганской ГЭС" (714,1 млн. сомов - АБР), "Модернизация и устойчивое развитие электроэнергетического сектора" (1,7 млрд. сомов - ВБ, SECO), "Реконструкция Лебединовской ГЭС" (702,8 млн. сомов - ЕАБР), и других. Реализация указанных проектов позволит в значительной мере улучшить состояние энергетической отрасли в Кыргызской Республике и создаст благоприятную основу к увеличению обмена электрической энергией между соседними государствами, а также транзитных перетоков.</w:t>
      </w:r>
    </w:p>
    <w:p>
      <w:pPr>
        <w:spacing w:after="60"/>
        <w:ind w:firstLine="567"/>
        <w:jc w:val="both"/>
      </w:pPr>
      <w:r>
        <w:rPr>
          <w:rFonts w:ascii="Arial" w:cs="Arial" w:eastAsia="Arial" w:hAnsi="Arial"/>
          <w:sz w:val="24"/>
          <w:szCs w:val="24"/>
        </w:rPr>
        <w:t xml:space="preserve">Объемы прямых иностранных инвестиций в сумме 14,7 млрд. сомов прогнозируются за счет капитальных вложений:</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ОсОО</w:t>
      </w:r>
      <w:r>
        <w:rPr>
          <w:rFonts w:ascii="Arial" w:cs="Arial" w:eastAsia="Arial" w:hAnsi="Arial"/>
          <w:sz w:val="24"/>
          <w:szCs w:val="24"/>
        </w:rPr>
        <w:t xml:space="preserve"> "KAZ Minerals Bozymchak" (366,6 </w:t>
      </w:r>
      <w:r>
        <w:rPr>
          <w:rFonts w:ascii="Arial" w:cs="Arial" w:eastAsia="Arial" w:hAnsi="Arial"/>
          <w:sz w:val="24"/>
          <w:szCs w:val="24"/>
        </w:rPr>
        <w:t xml:space="preserve">млн</w:t>
      </w:r>
      <w:r>
        <w:rPr>
          <w:rFonts w:ascii="Arial" w:cs="Arial" w:eastAsia="Arial" w:hAnsi="Arial"/>
          <w:sz w:val="24"/>
          <w:szCs w:val="24"/>
        </w:rPr>
        <w:t xml:space="preserve">. </w:t>
      </w:r>
      <w:r>
        <w:rPr>
          <w:rFonts w:ascii="Arial" w:cs="Arial" w:eastAsia="Arial" w:hAnsi="Arial"/>
          <w:sz w:val="24"/>
          <w:szCs w:val="24"/>
        </w:rPr>
        <w:t xml:space="preserve">сомов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ЗАО "Чаарат Заав" (4481,9 млн. сомов);</w:t>
      </w:r>
    </w:p>
    <w:p>
      <w:pPr>
        <w:spacing w:after="60"/>
        <w:ind w:firstLine="567"/>
        <w:jc w:val="both"/>
      </w:pPr>
      <w:r>
        <w:rPr>
          <w:rFonts w:ascii="Arial" w:cs="Arial" w:eastAsia="Arial" w:hAnsi="Arial"/>
          <w:sz w:val="24"/>
          <w:szCs w:val="24"/>
        </w:rPr>
        <w:t xml:space="preserve">- ОсОО "Альянс Алтын" (3883,0 млн. сомов);</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ОсОО</w:t>
      </w:r>
      <w:r>
        <w:rPr>
          <w:rFonts w:ascii="Arial" w:cs="Arial" w:eastAsia="Arial" w:hAnsi="Arial"/>
          <w:sz w:val="24"/>
          <w:szCs w:val="24"/>
        </w:rPr>
        <w:t xml:space="preserve"> "Full gold mining" (505,7 </w:t>
      </w:r>
      <w:r>
        <w:rPr>
          <w:rFonts w:ascii="Arial" w:cs="Arial" w:eastAsia="Arial" w:hAnsi="Arial"/>
          <w:sz w:val="24"/>
          <w:szCs w:val="24"/>
        </w:rPr>
        <w:t xml:space="preserve">млн</w:t>
      </w:r>
      <w:r>
        <w:rPr>
          <w:rFonts w:ascii="Arial" w:cs="Arial" w:eastAsia="Arial" w:hAnsi="Arial"/>
          <w:sz w:val="24"/>
          <w:szCs w:val="24"/>
        </w:rPr>
        <w:t xml:space="preserve">. </w:t>
      </w:r>
      <w:r>
        <w:rPr>
          <w:rFonts w:ascii="Arial" w:cs="Arial" w:eastAsia="Arial" w:hAnsi="Arial"/>
          <w:sz w:val="24"/>
          <w:szCs w:val="24"/>
        </w:rPr>
        <w:t xml:space="preserve">сомов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ОсОО "Алтынкен" (8,5 млн. сомов);</w:t>
      </w:r>
    </w:p>
    <w:p>
      <w:pPr>
        <w:spacing w:after="60"/>
        <w:ind w:firstLine="567"/>
        <w:jc w:val="both"/>
      </w:pPr>
      <w:r>
        <w:rPr>
          <w:rFonts w:ascii="Arial" w:cs="Arial" w:eastAsia="Arial" w:hAnsi="Arial"/>
          <w:sz w:val="24"/>
          <w:szCs w:val="24"/>
        </w:rPr>
        <w:t xml:space="preserve">- ОсОО "Газпром Кыргызстан" (1000,0 млн. сомов);</w:t>
      </w:r>
    </w:p>
    <w:p>
      <w:pPr>
        <w:spacing w:after="60"/>
        <w:ind w:firstLine="567"/>
        <w:jc w:val="both"/>
      </w:pPr>
      <w:r>
        <w:rPr>
          <w:rFonts w:ascii="Arial" w:cs="Arial" w:eastAsia="Arial" w:hAnsi="Arial"/>
          <w:sz w:val="24"/>
          <w:szCs w:val="24"/>
        </w:rPr>
        <w:t xml:space="preserve">- ОсОО "Эти Бакыр Терексай" (896,0 млн. сомов);</w:t>
      </w:r>
    </w:p>
    <w:p>
      <w:pPr>
        <w:spacing w:after="60"/>
        <w:ind w:firstLine="567"/>
        <w:jc w:val="both"/>
      </w:pPr>
      <w:r>
        <w:rPr>
          <w:rFonts w:ascii="Arial" w:cs="Arial" w:eastAsia="Arial" w:hAnsi="Arial"/>
          <w:sz w:val="24"/>
          <w:szCs w:val="24"/>
        </w:rPr>
        <w:t xml:space="preserve">- и др.</w:t>
      </w:r>
    </w:p>
    <w:p>
      <w:pPr>
        <w:spacing w:after="60"/>
        <w:ind w:firstLine="567"/>
        <w:jc w:val="both"/>
      </w:pPr>
      <w:r>
        <w:rPr>
          <w:rFonts w:ascii="Arial" w:cs="Arial" w:eastAsia="Arial" w:hAnsi="Arial"/>
          <w:sz w:val="24"/>
          <w:szCs w:val="24"/>
        </w:rPr>
        <w:t xml:space="preserve">В целом, в рамках Стратегии развития строительной отрасли Кыргызской Республики на 2020-2030 г. будет продолжена оптимизация градостроительного законодательства, разработка механизмов изъятия земельных участков и сноса объектов недвижимости для государственно-общественных нужд, приведение в соответствие земельного законодательства с действующими нормативными правовыми актами.</w:t>
      </w:r>
    </w:p>
    <w:p>
      <w:pPr>
        <w:spacing w:after="60"/>
        <w:ind w:firstLine="567"/>
        <w:jc w:val="both"/>
      </w:pPr>
      <w:r>
        <w:rPr>
          <w:rFonts w:ascii="Arial" w:cs="Arial" w:eastAsia="Arial" w:hAnsi="Arial"/>
          <w:sz w:val="24"/>
          <w:szCs w:val="24"/>
        </w:rPr>
        <w:t xml:space="preserve">Помимо этого будет продолжено совершенствование проведения государственных закупок в сфере архитектурной и строительной отрасли в части сокращения количества объектов незавершенного строительства и совершенствование сметно-нормативной базы.</w:t>
      </w:r>
    </w:p>
    <w:p>
      <w:pPr>
        <w:spacing w:after="60"/>
        <w:ind w:firstLine="567"/>
        <w:jc w:val="both"/>
      </w:pPr>
      <w:r>
        <w:rPr>
          <w:rFonts w:ascii="Arial" w:cs="Arial" w:eastAsia="Arial" w:hAnsi="Arial"/>
          <w:sz w:val="24"/>
          <w:szCs w:val="24"/>
        </w:rPr>
        <w:t xml:space="preserve">В результате ожидаются следующие результаты:</w:t>
      </w:r>
    </w:p>
    <w:p>
      <w:pPr>
        <w:spacing w:after="60"/>
        <w:ind w:firstLine="567"/>
        <w:jc w:val="both"/>
      </w:pPr>
      <w:r>
        <w:rPr>
          <w:rFonts w:ascii="Arial" w:cs="Arial" w:eastAsia="Arial" w:hAnsi="Arial"/>
          <w:sz w:val="24"/>
          <w:szCs w:val="24"/>
        </w:rPr>
        <w:t xml:space="preserve">- повышение эффективности капитальных вложений;</w:t>
      </w:r>
    </w:p>
    <w:p>
      <w:pPr>
        <w:spacing w:after="60"/>
        <w:ind w:firstLine="567"/>
        <w:jc w:val="both"/>
      </w:pPr>
      <w:r>
        <w:rPr>
          <w:rFonts w:ascii="Arial" w:cs="Arial" w:eastAsia="Arial" w:hAnsi="Arial"/>
          <w:sz w:val="24"/>
          <w:szCs w:val="24"/>
        </w:rPr>
        <w:t xml:space="preserve">- внедрение энергоэффективных и ресурсосберегающих технологий;</w:t>
      </w:r>
    </w:p>
    <w:p>
      <w:pPr>
        <w:spacing w:after="60"/>
        <w:ind w:firstLine="567"/>
        <w:jc w:val="both"/>
      </w:pPr>
      <w:r>
        <w:rPr>
          <w:rFonts w:ascii="Arial" w:cs="Arial" w:eastAsia="Arial" w:hAnsi="Arial"/>
          <w:sz w:val="24"/>
          <w:szCs w:val="24"/>
        </w:rPr>
        <w:t xml:space="preserve">- оптимизация ценообразования в строительстве и ЖКХ;</w:t>
      </w:r>
    </w:p>
    <w:p>
      <w:pPr>
        <w:spacing w:after="60"/>
        <w:ind w:firstLine="567"/>
        <w:jc w:val="both"/>
      </w:pPr>
      <w:r>
        <w:rPr>
          <w:rFonts w:ascii="Arial" w:cs="Arial" w:eastAsia="Arial" w:hAnsi="Arial"/>
          <w:sz w:val="24"/>
          <w:szCs w:val="24"/>
        </w:rPr>
        <w:t xml:space="preserve">- повышение требования к безопасности зданий и сооружений;</w:t>
      </w:r>
    </w:p>
    <w:p>
      <w:pPr>
        <w:spacing w:after="60"/>
        <w:ind w:firstLine="567"/>
        <w:jc w:val="both"/>
      </w:pPr>
      <w:r>
        <w:rPr>
          <w:rFonts w:ascii="Arial" w:cs="Arial" w:eastAsia="Arial" w:hAnsi="Arial"/>
          <w:sz w:val="24"/>
          <w:szCs w:val="24"/>
        </w:rPr>
        <w:t xml:space="preserve">- обеспечение градостроительной документации.</w:t>
      </w:r>
    </w:p>
    <w:p>
      <w:pPr>
        <w:spacing w:after="60"/>
        <w:ind w:firstLine="567"/>
        <w:jc w:val="both"/>
      </w:pPr>
      <w:r>
        <w:rPr>
          <w:rFonts w:ascii="Arial" w:cs="Arial" w:eastAsia="Arial" w:hAnsi="Arial"/>
          <w:sz w:val="24"/>
          <w:szCs w:val="24"/>
        </w:rPr>
        <w:t xml:space="preserve">Исходя из планируемых объемов капитализации экономики, реальный рост общего объема валовой продукции строительства на 2025 г. прогнозируется на уровне 10,3% и составит 278,3 млрд. сомов. Влияние строительной отрасли на темпы экономического роста будет положительным и составит 0,7 процентного пункта, удельный вес строительства в структуре производства ВВП - 7,1%.</w:t>
      </w:r>
    </w:p>
    <w:p>
      <w:pPr>
        <w:spacing w:after="60"/>
        <w:ind w:firstLine="567"/>
        <w:jc w:val="both"/>
      </w:pPr>
      <w:r>
        <w:rPr>
          <w:rFonts w:ascii="Arial" w:cs="Arial" w:eastAsia="Arial" w:hAnsi="Arial"/>
          <w:sz w:val="24"/>
          <w:szCs w:val="24"/>
        </w:rPr>
        <w:t xml:space="preserve">Вместе с тем присутствуют риски, которые могут оказать негативный эффект на развитие строительства и привести к недостижению прогнозируемых показателей, а именно:</w:t>
      </w:r>
    </w:p>
    <w:p>
      <w:pPr>
        <w:spacing w:after="60"/>
        <w:ind w:firstLine="567"/>
        <w:jc w:val="both"/>
      </w:pPr>
      <w:r>
        <w:rPr>
          <w:rFonts w:ascii="Arial" w:cs="Arial" w:eastAsia="Arial" w:hAnsi="Arial"/>
          <w:sz w:val="24"/>
          <w:szCs w:val="24"/>
        </w:rPr>
        <w:t xml:space="preserve">- сокращение иностранных кредитов, грантов и гуманитарной помощи из-за возможного перебоя финансирования части крупных инвестиционных проектов (несвоевременное открытие финансирования);</w:t>
      </w:r>
    </w:p>
    <w:p>
      <w:pPr>
        <w:spacing w:after="60"/>
        <w:ind w:firstLine="567"/>
        <w:jc w:val="both"/>
      </w:pPr>
      <w:r>
        <w:rPr>
          <w:rFonts w:ascii="Arial" w:cs="Arial" w:eastAsia="Arial" w:hAnsi="Arial"/>
          <w:sz w:val="24"/>
          <w:szCs w:val="24"/>
        </w:rPr>
        <w:t xml:space="preserve">- реализация инвестиционных проектов, предусмотренных в проекте бюджета по государственным инвестициям на 2024-2026 г. (внешние источники), где может произойти пересмотр в сторону снижения. Причинами могут стать неосвоенные средства из-за внутренних проблем, длительные процедуры согласования с донорами и т.д. В связи с чем последующие транши могут быть приостановлены и не поступить в Кыргызскую Республику;</w:t>
      </w:r>
    </w:p>
    <w:p>
      <w:pPr>
        <w:spacing w:after="60"/>
        <w:ind w:firstLine="567"/>
        <w:jc w:val="both"/>
      </w:pPr>
      <w:r>
        <w:rPr>
          <w:rFonts w:ascii="Arial" w:cs="Arial" w:eastAsia="Arial" w:hAnsi="Arial"/>
          <w:sz w:val="24"/>
          <w:szCs w:val="24"/>
        </w:rPr>
        <w:t xml:space="preserve">- сокращение капитальных вложений за счет средств предприятий и организаций из-за возможного перебоя в финансировании части отдельных проектов;</w:t>
      </w:r>
    </w:p>
    <w:p>
      <w:pPr>
        <w:spacing w:after="60"/>
        <w:ind w:firstLine="567"/>
        <w:jc w:val="both"/>
      </w:pPr>
      <w:r>
        <w:rPr>
          <w:rFonts w:ascii="Arial" w:cs="Arial" w:eastAsia="Arial" w:hAnsi="Arial"/>
          <w:sz w:val="24"/>
          <w:szCs w:val="24"/>
        </w:rPr>
        <w:t xml:space="preserve">- снижение капитальных вложений, финансируемых за счет средств населения, из-за ухудшения его платежеспособности, вследствие чего уменьшение объемов жилищного строительства;</w:t>
      </w:r>
    </w:p>
    <w:p>
      <w:pPr>
        <w:spacing w:after="60"/>
        <w:ind w:firstLine="567"/>
        <w:jc w:val="both"/>
      </w:pPr>
      <w:r>
        <w:rPr>
          <w:rFonts w:ascii="Arial" w:cs="Arial" w:eastAsia="Arial" w:hAnsi="Arial"/>
          <w:sz w:val="24"/>
          <w:szCs w:val="24"/>
        </w:rPr>
        <w:t xml:space="preserve">- сокращение объемов прямых иностранных инвестиций из-за снижения капитальных затрат иностранных инвесторов и отсутствие данных по другим дополнительным источникам финансирования;</w:t>
      </w:r>
    </w:p>
    <w:p>
      <w:pPr>
        <w:spacing w:after="60"/>
        <w:ind w:firstLine="567"/>
        <w:jc w:val="both"/>
      </w:pPr>
      <w:r>
        <w:rPr>
          <w:rFonts w:ascii="Arial" w:cs="Arial" w:eastAsia="Arial" w:hAnsi="Arial"/>
          <w:sz w:val="24"/>
          <w:szCs w:val="24"/>
        </w:rPr>
        <w:t xml:space="preserve">- проблемы, связанные с актом приемки завершенных объектов, некоторые из которых завершены и предыдущие годы, однако не оформлены акты приема-передачи, что связано с недооснащением, недооборудованием объектов, трудностями подключения вновь возводимых объектов к инфраструктуре;</w:t>
      </w:r>
    </w:p>
    <w:p>
      <w:pPr>
        <w:spacing w:after="60"/>
        <w:ind w:firstLine="567"/>
        <w:jc w:val="both"/>
      </w:pPr>
      <w:r>
        <w:rPr>
          <w:rFonts w:ascii="Arial" w:cs="Arial" w:eastAsia="Arial" w:hAnsi="Arial"/>
          <w:sz w:val="24"/>
          <w:szCs w:val="24"/>
        </w:rPr>
        <w:t xml:space="preserve">- волатильность цен на строительные материалы, в основном, импортируемые в Кыргызскую Республику;</w:t>
      </w:r>
    </w:p>
    <w:p>
      <w:pPr>
        <w:spacing w:after="60"/>
        <w:ind w:firstLine="567"/>
        <w:jc w:val="both"/>
      </w:pPr>
      <w:r>
        <w:rPr>
          <w:rFonts w:ascii="Arial" w:cs="Arial" w:eastAsia="Arial" w:hAnsi="Arial"/>
          <w:sz w:val="24"/>
          <w:szCs w:val="24"/>
        </w:rPr>
        <w:t xml:space="preserve">- с ограничительными мерами нарушение логистических цепочек, связанными с санкциями против России.</w:t>
      </w:r>
    </w:p>
    <w:p>
      <w:pPr>
        <w:spacing w:after="60" w:before="200"/>
        <w:ind w:firstLine="567"/>
        <w:jc w:val="left"/>
      </w:pPr>
      <w:r>
        <w:rPr>
          <w:rFonts w:ascii="Arial" w:cs="Arial" w:eastAsia="Arial" w:hAnsi="Arial"/>
          <w:b/>
          <w:bCs/>
          <w:sz w:val="24"/>
          <w:szCs w:val="24"/>
        </w:rPr>
        <w:t xml:space="preserve">6.1.4. Сфера услуг</w:t>
      </w:r>
    </w:p>
    <w:p>
      <w:pPr>
        <w:spacing w:after="60"/>
        <w:ind w:firstLine="567"/>
        <w:jc w:val="both"/>
      </w:pPr>
      <w:r>
        <w:rPr>
          <w:rFonts w:ascii="Arial" w:cs="Arial" w:eastAsia="Arial" w:hAnsi="Arial"/>
          <w:sz w:val="24"/>
          <w:szCs w:val="24"/>
        </w:rPr>
        <w:t xml:space="preserve">Основные направления развития рынка услуг определены в таких программных страновых документах как Национальная стратегия развития Кыргызской Республики на 2018-2040 гг. (</w:t>
      </w:r>
      <w:hyperlink w:history="1" r:id="rIdawcghhtr_v78pdtpkmno1">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Национальной стратегии развития Кыргызской Республики на 2018-2040 годы" от 31 октября 2018 г. № 221), </w:t>
      </w:r>
      <w:hyperlink w:history="1" r:id="rIdokhep0xqzam3wcmnx75dd">
        <w:r>
          <w:rPr>
            <w:rFonts w:ascii="Arial" w:cs="Arial" w:eastAsia="Arial" w:hAnsi="Arial"/>
            <w:color w:val="1D4ED8"/>
            <w:sz w:val="24"/>
            <w:szCs w:val="24"/>
            <w:u w:val="single"/>
          </w:rPr>
          <w:t xml:space="preserve">Национальная программа</w:t>
        </w:r>
      </w:hyperlink>
      <w:r>
        <w:rPr>
          <w:rFonts w:ascii="Arial" w:cs="Arial" w:eastAsia="Arial" w:hAnsi="Arial"/>
          <w:sz w:val="24"/>
          <w:szCs w:val="24"/>
        </w:rPr>
        <w:t xml:space="preserve"> развития Кыргызской Республики до 2026 г. (</w:t>
      </w:r>
      <w:hyperlink w:history="1" r:id="rIdpkecxesyizd0euzub0isz">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w:t>
      </w:r>
      <w:hyperlink w:history="1" r:id="rIdcx0uuwoyapn_84brmk-r8">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от 12 октября 2021 г. № 435), Программа по поддержке и развитию электронной коммерции в Кыргызской Республике на 2023-2026 гг. (</w:t>
      </w:r>
      <w:hyperlink w:history="1" r:id="rIdk4lhcib5-pgqcgpfnfeq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48di3dxavhzq9cq6ruklx">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по поддержке и развитию электронной коммерции в Кыргызской Республике на 2023-2026 годы" от 16 декабря 2022 г. № 707), указы Президента Кыргызской Республики "О неотложных мерах по активизации внедрения цифровых технологий в государственное управление Кыргызской Республики" от </w:t>
      </w:r>
      <w:hyperlink w:history="1" r:id="rIdrcalhfvn_hyxy8os2z2pn">
        <w:r>
          <w:rPr>
            <w:rFonts w:ascii="Arial" w:cs="Arial" w:eastAsia="Arial" w:hAnsi="Arial"/>
            <w:color w:val="1D4ED8"/>
            <w:sz w:val="24"/>
            <w:szCs w:val="24"/>
            <w:u w:val="single"/>
          </w:rPr>
          <w:t xml:space="preserve">17 декабря 2020 г. № 64</w:t>
        </w:r>
      </w:hyperlink>
      <w:r>
        <w:rPr>
          <w:rFonts w:ascii="Arial" w:cs="Arial" w:eastAsia="Arial" w:hAnsi="Arial"/>
          <w:sz w:val="24"/>
          <w:szCs w:val="24"/>
        </w:rPr>
        <w:t xml:space="preserve"> и "О поддержке развития туризма в Кыргызской Республике" от </w:t>
      </w:r>
      <w:hyperlink w:history="1" r:id="rId2f1tj01frp4ppcesf7f4o">
        <w:r>
          <w:rPr>
            <w:rFonts w:ascii="Arial" w:cs="Arial" w:eastAsia="Arial" w:hAnsi="Arial"/>
            <w:color w:val="1D4ED8"/>
            <w:sz w:val="24"/>
            <w:szCs w:val="24"/>
            <w:u w:val="single"/>
          </w:rPr>
          <w:t xml:space="preserve">17 декабря 2021 г. № 566</w:t>
        </w:r>
      </w:hyperlink>
      <w:r>
        <w:rPr>
          <w:rFonts w:ascii="Arial" w:cs="Arial" w:eastAsia="Arial" w:hAnsi="Arial"/>
          <w:sz w:val="24"/>
          <w:szCs w:val="24"/>
        </w:rPr>
        <w:t xml:space="preserve">, основные направления развития железнодорожного транспорта Кыргызской Республики на 2022-2026 гг. (</w:t>
      </w:r>
      <w:hyperlink w:history="1" r:id="rId50t8gz43ckzvu7zmrlqk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Основных направлений развития железнодорожного транспорта Кыргызской Республики на 2022-2026 годы" от 20 мая 2022 г. № 258), Основные направления развития платежной системы Кыргызской Республики на 2023-2027 гг. (постановление Правления Национального банка Кыргызской Республики "Об Основных направлениях развития платежной системы Кыргызской Республики на 2023-2027 годы" от 29 марта 2023 г.) и т.д.</w:t>
      </w:r>
    </w:p>
    <w:p>
      <w:pPr>
        <w:spacing w:after="60"/>
        <w:ind w:firstLine="567"/>
        <w:jc w:val="both"/>
      </w:pPr>
      <w:r>
        <w:rPr>
          <w:rFonts w:ascii="Arial" w:cs="Arial" w:eastAsia="Arial" w:hAnsi="Arial"/>
          <w:sz w:val="24"/>
          <w:szCs w:val="24"/>
        </w:rPr>
        <w:t xml:space="preserve">Темп роста валового объема сферы услуг на 2025 г. прогнозируется на уровне 105,3%. Сфера услуг по-прежнему будет занимать доминирующую долю в структуре ВВП (более 50,0%) и с наибольшим вкладом в структуре роста - 2,6 процентных пункта.</w:t>
      </w:r>
    </w:p>
    <w:p>
      <w:pPr>
        <w:spacing w:after="60"/>
        <w:ind w:firstLine="567"/>
        <w:jc w:val="both"/>
      </w:pPr>
      <w:r>
        <w:rPr>
          <w:rFonts w:ascii="Arial" w:cs="Arial" w:eastAsia="Arial" w:hAnsi="Arial"/>
          <w:sz w:val="24"/>
          <w:szCs w:val="24"/>
        </w:rPr>
        <w:t xml:space="preserve">Наибольшую долю в структуре отраслей экономики, оказывающих услуги, занимают оптовая и розничная торговля - 37,5%, услуги транспортной деятельности - 8,4% и услуги финансового посредничества и страхованию - 9,2%.</w:t>
      </w:r>
    </w:p>
    <w:p>
      <w:pPr>
        <w:spacing w:after="60"/>
        <w:ind w:firstLine="567"/>
        <w:jc w:val="both"/>
      </w:pPr>
      <w:r>
        <w:rPr>
          <w:rFonts w:ascii="Arial" w:cs="Arial" w:eastAsia="Arial" w:hAnsi="Arial"/>
          <w:sz w:val="24"/>
          <w:szCs w:val="24"/>
        </w:rPr>
        <w:t xml:space="preserve">Рост сферы услуг прогнозируется за счет следующих предпосылок:</w:t>
      </w:r>
    </w:p>
    <w:p>
      <w:pPr>
        <w:spacing w:after="60"/>
        <w:ind w:firstLine="567"/>
        <w:jc w:val="both"/>
      </w:pPr>
      <w:r>
        <w:rPr>
          <w:rFonts w:ascii="Arial" w:cs="Arial" w:eastAsia="Arial" w:hAnsi="Arial"/>
          <w:sz w:val="24"/>
          <w:szCs w:val="24"/>
        </w:rPr>
        <w:t xml:space="preserve">- прогнозируется рост валового выпуска оптовой и розничной торговли; ремонт автомобилей и мотоциклов на 9,2% за счет повышения потребительского спроса, обусловленное увеличением доходов населения (повышение заработной платы, размера пенсий, социальных выплат, расширение производства сельскохозяйственной продукции в домашних хозяйствах и др.);</w:t>
      </w:r>
    </w:p>
    <w:p>
      <w:pPr>
        <w:spacing w:after="60"/>
        <w:ind w:firstLine="567"/>
        <w:jc w:val="both"/>
      </w:pPr>
      <w:r>
        <w:rPr>
          <w:rFonts w:ascii="Arial" w:cs="Arial" w:eastAsia="Arial" w:hAnsi="Arial"/>
          <w:sz w:val="24"/>
          <w:szCs w:val="24"/>
        </w:rPr>
        <w:t xml:space="preserve">- прирост услуг транспортной деятельности и хранения грузов на 7% за счет повышения качества транспортных услуг посредством приведения внутренней сети автомобильных дорог в соответствие рабочим стандартам, обновления и пополнения парка автотранспортных средств; повышения интегрированности страны в межрегиональную экономическую систему путем реабилитации международных транспортных коридоров; улучшения условий для отечественных грузоперевозчиков в оказании международных автотранспортных услуг; расширения доступности транспортных услуг за счет развития наземного транспорта, развития гражданской авиации и обеспечения воздушной безопасности;</w:t>
      </w:r>
    </w:p>
    <w:p>
      <w:pPr>
        <w:spacing w:after="60"/>
        <w:ind w:firstLine="567"/>
        <w:jc w:val="both"/>
      </w:pPr>
      <w:r>
        <w:rPr>
          <w:rFonts w:ascii="Arial" w:cs="Arial" w:eastAsia="Arial" w:hAnsi="Arial"/>
          <w:sz w:val="24"/>
          <w:szCs w:val="24"/>
        </w:rPr>
        <w:t xml:space="preserve">- прирост услуг гостиниц и ресторанов на 10% за счет развития сервиса гостиничного комплекса и общественного питания, ключевого направления развития сферы услуг туризма, где будет активизирована работа Фонда поддержки развития туризма с уставным капиталом 1,0 млрд. сомов, в планах которого предусмотрены развитие инфраструктуры в туристической отрасли, улучшение качества и создание удобства для туристов. Строительство 68 точек отдыха (RestPoint) для туристов на самых оживленных туристических маршрутах и междугородних трассах нашей республики будут способствовать улучшению качества обслуживания туристов и увеличению туристического потока. Наряду со строительством точек отдыха ведется работа по обустройству в семи областях страны экотроп;</w:t>
      </w:r>
    </w:p>
    <w:p>
      <w:pPr>
        <w:spacing w:after="60"/>
        <w:ind w:firstLine="567"/>
        <w:jc w:val="both"/>
      </w:pPr>
      <w:r>
        <w:rPr>
          <w:rFonts w:ascii="Arial" w:cs="Arial" w:eastAsia="Arial" w:hAnsi="Arial"/>
          <w:sz w:val="24"/>
          <w:szCs w:val="24"/>
        </w:rPr>
        <w:t xml:space="preserve">- прирост объемов услуг информации и связи на 3,0% за счет создания новых продуктов в цифровом формате, которые будут способствовать к увеличению спроса на интернет трафик; предоставления населению высокотехнологичных, доступных информационно-коммуникационных услуг. Развитие телекоммуникационной инфраструктуры в прогнозируемом периоде станет одним из важнейших благоприятных факторов подъема национальной экономики и роста деловой активности населения.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Динамика темпов роста в отраслях сферы услуг на 2024-2025 гг.</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84"/>
        <w:gridCol w:w="988"/>
        <w:gridCol w:w="988"/>
        <w:gridCol w:w="959"/>
        <w:gridCol w:w="959"/>
      </w:tblGrid>
      <w:tr>
        <w:tc>
          <w:tcPr>
            <w:tcW w:type="dxa" w:w="628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9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 ожидаемое</w:t>
            </w:r>
          </w:p>
        </w:tc>
        <w:tc>
          <w:tcPr>
            <w:tcW w:type="dxa" w:w="19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 прогноз</w:t>
            </w:r>
          </w:p>
        </w:tc>
      </w:tr>
      <w:tr>
        <w:tc>
          <w:tcPr>
            <w:vMerge w:val="continue"/>
            <w:tcBorders>
              <w:top w:val="single" w:color="CBBF9E" w:sz="4"/>
              <w:left w:val="single" w:color="CBBF9E" w:sz="4"/>
              <w:bottom w:val="single" w:color="CBBF9E" w:sz="4"/>
              <w:right w:val="single" w:color="CBBF9E" w:sz="4"/>
            </w:tcBorders>
          </w:tcP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628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Сфера услуг, всего</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1153831,1</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1337547,1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105,3</w:t>
            </w:r>
          </w:p>
        </w:tc>
      </w:tr>
      <w:tr>
        <w:tc>
          <w:tcPr>
            <w:tcW w:type="dxa" w:w="6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отраслям:</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415397,2</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501461,4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r>
      <w:tr>
        <w:tc>
          <w:tcPr>
            <w:tcW w:type="dxa" w:w="6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94713,5</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111719,2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6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56217,0</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70496,2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r>
      <w:tr>
        <w:tc>
          <w:tcPr>
            <w:tcW w:type="dxa" w:w="6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45448,6</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48684,5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6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Финансовое посредничество и страхование</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106475,9</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115068,5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6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85935,8</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94202,8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6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Профессиональная, научная и техническая деятельность</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37091,3</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39906,6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6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Административная и вспомогательная деятельность</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8947,3</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9308,5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6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110681,9</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128938,9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6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99471,5</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112154,1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6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социальное обслуживание населения</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52282,6</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58811,6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6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Искусство, развлечения и отдых</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10555,1</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11842,8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6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обслуживающая деятельность</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30272,6</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34583,5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6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Деятельность частных домашних хозяйств с наемными работниками; производство частными домашними хозяйствами разнообразных товаров и услуг для собственного потребления</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340,8</w:t>
            </w:r>
          </w:p>
        </w:tc>
        <w:tc>
          <w:tcPr>
            <w:tcW w:type="dxa" w:w="9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Кроме того ключевыми сегментами в данной отрасли являются другие виды услуг такие как образовательные и медицинские услуги, операции с недвижимым имуществом, научная и техническая деятельность, искусство, развлечения и отдых, деятельность частных домашних хозяйств с наемными работниками; производство частными домашними хозяйствами разнообразных товаров и услуг для собственного потребления и др., функционирование которых формируют многообразие услуг, способствуя экономическому развитию страны и повышению качества жизни населения.</w:t>
      </w:r>
    </w:p>
    <w:p>
      <w:pPr>
        <w:spacing w:after="60"/>
        <w:ind w:firstLine="567"/>
        <w:jc w:val="both"/>
      </w:pPr>
      <w:r>
        <w:rPr>
          <w:rFonts w:ascii="Arial" w:cs="Arial" w:eastAsia="Arial" w:hAnsi="Arial"/>
          <w:sz w:val="24"/>
          <w:szCs w:val="24"/>
        </w:rPr>
        <w:t xml:space="preserve">В образовательной сфере основной упор будет направлен на формирование дополнительных образовательных программ с учетом потребностей различных категорий обучающихся и предстающей реформе с переходом на 12-летнее обучение. Прогнозируется увеличение медицинских и образовательных услуг за счет внедрения цифровых технологий, таких как электронная очередь к врачу, электронная карточка пациента, электронная запись в школу и т.д.</w:t>
      </w:r>
    </w:p>
    <w:p>
      <w:pPr>
        <w:spacing w:after="60"/>
        <w:ind w:firstLine="567"/>
        <w:jc w:val="both"/>
      </w:pPr>
      <w:r>
        <w:rPr>
          <w:rFonts w:ascii="Arial" w:cs="Arial" w:eastAsia="Arial" w:hAnsi="Arial"/>
          <w:sz w:val="24"/>
          <w:szCs w:val="24"/>
        </w:rPr>
        <w:t xml:space="preserve">Развитию услуг в сфере культуры и искусства будет способствовать стабильная работа действующих театров, кинозалов, расширение их репертуара. Кроме того, запланированные работы по ремонту и реконструкции основных культурных заведений позволят привлечь на отечественные сцены зарубежных артистов, деятелей культуры, что даст дополнительный толчок по увеличению объемов услуг.</w:t>
      </w:r>
    </w:p>
    <w:p>
      <w:pPr>
        <w:spacing w:after="60"/>
        <w:ind w:firstLine="567"/>
        <w:jc w:val="both"/>
      </w:pPr>
      <w:r>
        <w:rPr>
          <w:rFonts w:ascii="Arial" w:cs="Arial" w:eastAsia="Arial" w:hAnsi="Arial"/>
          <w:sz w:val="24"/>
          <w:szCs w:val="24"/>
        </w:rPr>
        <w:t xml:space="preserve">Развитие этих сфер поддерживается увеличением доходов населения, расширением малого и среднего бизнеса, а также интеграцией цифровых технологий. Денежные доходы населения за последние два г. увеличились на более 40%, при этом размер среднемесячной номинальной заработной платы увеличился в среднем в 1,7 раза, средний размер пенсии - в 1,5 раза, а размер ежемесячного социального пособия увеличился в 2 раза, значительно возросли объемы импортных операций - почти в 3 раза, Все эти факторы в свою очередь оказывают поддержку внутреннему спросу, соответственно увеличению объемов оборота оптовой и розничной торговли, транспортной деятельности и храпение грузов, гостиницы и ресторанов и т.д.</w:t>
      </w:r>
    </w:p>
    <w:p>
      <w:pPr>
        <w:spacing w:after="60"/>
        <w:ind w:firstLine="567"/>
        <w:jc w:val="both"/>
      </w:pPr>
      <w:r>
        <w:rPr>
          <w:rFonts w:ascii="Arial" w:cs="Arial" w:eastAsia="Arial" w:hAnsi="Arial"/>
          <w:sz w:val="24"/>
          <w:szCs w:val="24"/>
        </w:rPr>
        <w:t xml:space="preserve">При этом существуют определенные риски по обеспечению выполнения поставленных задач в сфере услуг:</w:t>
      </w:r>
    </w:p>
    <w:p>
      <w:pPr>
        <w:spacing w:after="60"/>
        <w:ind w:firstLine="567"/>
        <w:jc w:val="both"/>
      </w:pPr>
      <w:r>
        <w:rPr>
          <w:rFonts w:ascii="Arial" w:cs="Arial" w:eastAsia="Arial" w:hAnsi="Arial"/>
          <w:sz w:val="24"/>
          <w:szCs w:val="24"/>
        </w:rPr>
        <w:t xml:space="preserve">- сложная геополитическая обстановка в мире;</w:t>
      </w:r>
    </w:p>
    <w:p>
      <w:pPr>
        <w:spacing w:after="60"/>
        <w:ind w:firstLine="567"/>
        <w:jc w:val="both"/>
      </w:pPr>
      <w:r>
        <w:rPr>
          <w:rFonts w:ascii="Arial" w:cs="Arial" w:eastAsia="Arial" w:hAnsi="Arial"/>
          <w:sz w:val="24"/>
          <w:szCs w:val="24"/>
        </w:rPr>
        <w:t xml:space="preserve">- снижение уровня жизни населения в связи с инфляцией и медленным ростом доходов населения;</w:t>
      </w:r>
    </w:p>
    <w:p>
      <w:pPr>
        <w:spacing w:after="60"/>
        <w:ind w:firstLine="567"/>
        <w:jc w:val="both"/>
      </w:pPr>
      <w:r>
        <w:rPr>
          <w:rFonts w:ascii="Arial" w:cs="Arial" w:eastAsia="Arial" w:hAnsi="Arial"/>
          <w:sz w:val="24"/>
          <w:szCs w:val="24"/>
        </w:rPr>
        <w:t xml:space="preserve">- снижение поступление денежных переводов от мигрантов в связи с продолжением военных операций;</w:t>
      </w:r>
    </w:p>
    <w:p>
      <w:pPr>
        <w:spacing w:after="60"/>
        <w:ind w:firstLine="567"/>
        <w:jc w:val="both"/>
      </w:pPr>
      <w:r>
        <w:rPr>
          <w:rFonts w:ascii="Arial" w:cs="Arial" w:eastAsia="Arial" w:hAnsi="Arial"/>
          <w:sz w:val="24"/>
          <w:szCs w:val="24"/>
        </w:rPr>
        <w:t xml:space="preserve">- снижение туристического потока;</w:t>
      </w:r>
    </w:p>
    <w:p>
      <w:pPr>
        <w:spacing w:after="60"/>
        <w:ind w:firstLine="567"/>
        <w:jc w:val="both"/>
      </w:pPr>
      <w:r>
        <w:rPr>
          <w:rFonts w:ascii="Arial" w:cs="Arial" w:eastAsia="Arial" w:hAnsi="Arial"/>
          <w:sz w:val="24"/>
          <w:szCs w:val="24"/>
        </w:rPr>
        <w:t xml:space="preserve">- нехватка специалистов в определенных отраслях услуг (туризм, информационных технологиях и т.д.) может ограничивать их развитие;</w:t>
      </w:r>
    </w:p>
    <w:p>
      <w:pPr>
        <w:spacing w:after="60"/>
        <w:ind w:firstLine="567"/>
        <w:jc w:val="both"/>
      </w:pPr>
      <w:r>
        <w:rPr>
          <w:rFonts w:ascii="Arial" w:cs="Arial" w:eastAsia="Arial" w:hAnsi="Arial"/>
          <w:sz w:val="24"/>
          <w:szCs w:val="24"/>
        </w:rPr>
        <w:t xml:space="preserve">- снижение прямых иностранных инвестиций в экономику страны;</w:t>
      </w:r>
    </w:p>
    <w:p>
      <w:pPr>
        <w:spacing w:after="60"/>
        <w:ind w:firstLine="567"/>
        <w:jc w:val="both"/>
      </w:pPr>
      <w:r>
        <w:rPr>
          <w:rFonts w:ascii="Arial" w:cs="Arial" w:eastAsia="Arial" w:hAnsi="Arial"/>
          <w:sz w:val="24"/>
          <w:szCs w:val="24"/>
        </w:rPr>
        <w:t xml:space="preserve">- снижение деловой активности в экономике страны.</w:t>
      </w:r>
    </w:p>
    <w:p>
      <w:pPr>
        <w:spacing w:after="200" w:before="200"/>
        <w:jc w:val="center"/>
      </w:pPr>
      <w:r>
        <w:rPr>
          <w:rFonts w:ascii="Arial" w:cs="Arial" w:eastAsia="Arial" w:hAnsi="Arial"/>
          <w:b/>
          <w:bCs/>
          <w:sz w:val="24"/>
          <w:szCs w:val="24"/>
        </w:rPr>
        <w:t xml:space="preserve">7. Внешнеэкономическая деятельность</w:t>
      </w:r>
    </w:p>
    <w:p>
      <w:pPr>
        <w:spacing w:after="60"/>
        <w:ind w:firstLine="567"/>
        <w:jc w:val="both"/>
      </w:pPr>
      <w:r>
        <w:rPr>
          <w:rFonts w:ascii="Arial" w:cs="Arial" w:eastAsia="Arial" w:hAnsi="Arial"/>
          <w:sz w:val="24"/>
          <w:szCs w:val="24"/>
        </w:rPr>
        <w:t xml:space="preserve">Внешнеэкономическая деятельность в 2025 г. будет направлена на создание благоприятных условий для роста и повышения экспортных возможностей страны, а также дальнейшего расширения рынков экспорта путем укрепления свободного доступа отечественной продукции к мировым рынкам, широко используя при этом инструменты экономической дипломатии для продвижения торгово-экономических интересов страны.</w:t>
      </w:r>
    </w:p>
    <w:p>
      <w:pPr>
        <w:spacing w:after="60"/>
        <w:ind w:firstLine="567"/>
        <w:jc w:val="both"/>
      </w:pPr>
      <w:r>
        <w:rPr>
          <w:rFonts w:ascii="Arial" w:cs="Arial" w:eastAsia="Arial" w:hAnsi="Arial"/>
          <w:sz w:val="24"/>
          <w:szCs w:val="24"/>
        </w:rPr>
        <w:t xml:space="preserve">В целях повышения качества и эффективности выполнения функций по развитию и продвижению экспорта, повышения экспортного потенциала и конкурентоспособности отечественных производителей, а также усиления государственных механизмов развития и продвижения экспорта в Кыргызской Республике создан Центр по развитию и продвижению экспорта "Кыргыз Экспорт" (</w:t>
      </w:r>
      <w:hyperlink w:history="1" r:id="rIdt0eimmkyywzdx-srtt3x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создании государственного учреждения "Центр по развитию и продвижению экспорта "Кыргыз Экспорт" при Министерстве экономики и коммерции Кыргызской Республики" от 22 сентября 2023 года № 497), основными направлениями деятельности которого является проведение активной работы по разработке и реализации мер по стимулированию экспортного потенциала Кыргызской Республики, развитию международных и межрегиональных внешнеэкономических связей Кыргызской Республики в части продвижения экспорта продукции, а также содействию диверсификации экономики Кыргызской Республики путем продвижения экспорта.</w:t>
      </w:r>
    </w:p>
    <w:p>
      <w:pPr>
        <w:spacing w:after="60"/>
        <w:ind w:firstLine="567"/>
        <w:jc w:val="both"/>
      </w:pPr>
      <w:r>
        <w:rPr>
          <w:rFonts w:ascii="Arial" w:cs="Arial" w:eastAsia="Arial" w:hAnsi="Arial"/>
          <w:sz w:val="24"/>
          <w:szCs w:val="24"/>
        </w:rPr>
        <w:t xml:space="preserve">В сложившихся условиях, учитывая нарушения цепочек поставок из-за санкционного режима, будет проводиться активная работа по диверсификации направлений рынков через развитие взаимовыгодного торгово-экономического и инвестиционного сотрудничества со странами Южной и Юго-Восточной Азии, Арабского Востока, а также оказание содействия в продвижении экспорта отечественной продукции на рынки стран сопредельных государств, ЕАЭС и ЕС на основе статуса "Всеобщей системы преференций+". Увеличение экспорта будет реализовываться за счет существующих приоритетных секторов, продукция которых имеет устойчивую экспортную направленность, а также через решение задач в четырех кросс-отраслевых секторах, не специфичных для отраслей, но имеющих равное значение для всех экспортных предприятий и позволяющих им реализовать возможности глобального рынка: 1) инфраструктура качества; 2) стимулирование экспорта; 3) доступ к финансам; 4) упрощение процедур торговли.</w:t>
      </w:r>
    </w:p>
    <w:p>
      <w:pPr>
        <w:spacing w:after="60"/>
        <w:ind w:firstLine="567"/>
        <w:jc w:val="both"/>
      </w:pPr>
      <w:r>
        <w:rPr>
          <w:rFonts w:ascii="Arial" w:cs="Arial" w:eastAsia="Arial" w:hAnsi="Arial"/>
          <w:sz w:val="24"/>
          <w:szCs w:val="24"/>
        </w:rPr>
        <w:t xml:space="preserve">Продолжится разработка мер по обеспечению экспортоориентированных производителей доступными финансовыми ресурсами, где будут задействованы финансовые средства Российско-Кыргызского Фонда развития, Кыргызско-Узбекского Фонда развития, Кыргызско-Венгерского Фонда развития и др. для поддержки наиболее перспективных проектов в ключевых экспортоориентированных секторах экономики, таких как сельское хозяйство, легкая, пищевая промышленность и т.д.</w:t>
      </w:r>
    </w:p>
    <w:p>
      <w:pPr>
        <w:spacing w:after="60"/>
        <w:ind w:firstLine="567"/>
        <w:jc w:val="both"/>
      </w:pPr>
      <w:r>
        <w:rPr>
          <w:rFonts w:ascii="Arial" w:cs="Arial" w:eastAsia="Arial" w:hAnsi="Arial"/>
          <w:sz w:val="24"/>
          <w:szCs w:val="24"/>
        </w:rPr>
        <w:t xml:space="preserve">Для наращивания экспортных возможностей страны в первую очередь будут решаться вопросы простоты, удобства и скорости внешнеторговых операций, осуществляемых участниками ВЭД. Будут приниматься меры направленные на сокращение количества процедур, времени и материальных затрат при экспортно-импортных операциях. С этой целью продолжится осуществление мер по реализации Соглашения ВТО по упрощению процедур торговли и других мероприятий по упрощению торговых и транспортных процедур Кыргызской Республики. Целевыми рынками для экспорта продукции товаров отечественной продукции являются страны-члены ЕАЭС, Китай, Турция и Узбекистан.</w:t>
      </w:r>
    </w:p>
    <w:p>
      <w:pPr>
        <w:spacing w:after="60"/>
        <w:ind w:firstLine="567"/>
        <w:jc w:val="both"/>
      </w:pPr>
      <w:r>
        <w:rPr>
          <w:rFonts w:ascii="Arial" w:cs="Arial" w:eastAsia="Arial" w:hAnsi="Arial"/>
          <w:sz w:val="24"/>
          <w:szCs w:val="24"/>
        </w:rPr>
        <w:t xml:space="preserve">Вместе с тем, учитывая защитные действия, принимаемые рядом стран в отношении товаров первой необходимости из-за сложившейся напряженной геополитической ситуации, разрыва глобальных цепочек поставок, экспортная политика будет корректироваться с учетом необходимости обеспечения в первую очередь потребностей внутреннего рынка стран. В том числе и введение ограничений на экспорт отдельных категорий товаров.</w:t>
      </w:r>
    </w:p>
    <w:p>
      <w:pPr>
        <w:spacing w:after="60"/>
        <w:ind w:firstLine="567"/>
        <w:jc w:val="both"/>
      </w:pPr>
      <w:r>
        <w:rPr>
          <w:rFonts w:ascii="Arial" w:cs="Arial" w:eastAsia="Arial" w:hAnsi="Arial"/>
          <w:sz w:val="24"/>
          <w:szCs w:val="24"/>
        </w:rPr>
        <w:t xml:space="preserve">Создание института торговых представителей является достаточно эффективным механизмом оказания поддержки экспортерам. Для продвижения отечественной продукции на внешних рынках и обеспечения защиты внешнеэкономических интересов Кыргызской Республики в иностранных государствах введены в работу институты торгового представительства в КНР, Узбекистане и Турции (</w:t>
      </w:r>
      <w:hyperlink w:history="1" r:id="rId4grapwtt6rznyga0e9ah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торговых представительствах КР при Министерстве экономики и коммерции Кыргызской Республики в иностранных государствах" от 16 декабря 2022 г. № 702).</w:t>
      </w:r>
    </w:p>
    <w:p>
      <w:pPr>
        <w:spacing w:after="60"/>
        <w:ind w:firstLine="567"/>
        <w:jc w:val="both"/>
      </w:pPr>
      <w:r>
        <w:rPr>
          <w:rFonts w:ascii="Arial" w:cs="Arial" w:eastAsia="Arial" w:hAnsi="Arial"/>
          <w:sz w:val="24"/>
          <w:szCs w:val="24"/>
        </w:rPr>
        <w:t xml:space="preserve">Кыргызская Республика активно использует различные формы вхождения на мировой рынок, в особенности через развитие внешней торговли в условиях интеграционных процессов. В этой связи совместно с партнерами по интеграции Кыргызская Республика будет проводить активную работу по созданию зон свободной торговли между ЕАЭС и третьими странами в целях развития товарной и географической диверсификации кыргызского экспорта.</w:t>
      </w:r>
    </w:p>
    <w:p>
      <w:pPr>
        <w:spacing w:after="60"/>
        <w:ind w:firstLine="567"/>
        <w:jc w:val="both"/>
      </w:pPr>
      <w:r>
        <w:rPr>
          <w:rFonts w:ascii="Arial" w:cs="Arial" w:eastAsia="Arial" w:hAnsi="Arial"/>
          <w:sz w:val="24"/>
          <w:szCs w:val="24"/>
        </w:rPr>
        <w:t xml:space="preserve">Приобретает активность цифровых преобразований и электронной торговли. В рамках реализации </w:t>
      </w:r>
      <w:hyperlink w:history="1" r:id="rIdwkck5sgyqziwobavzzuqc">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по поддержке и развитию электронной коммерции в Кыргызской Республике на 2023-2026 гг. (</w:t>
      </w:r>
      <w:hyperlink w:history="1" r:id="rIdv_2fho8frxlqbprdjfy6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торговых представительствах Кыргызской Республики при Министерстве экономики и коммерции Кыргызской Республики в иностранных государствах" от 16 декабря 2022 г. № 707) меры направлены на сокращение издержек участников электронной коммерции, защищенность и обеспечение безопасности их деятельности, продвижение инвестиций, повышение конкурентоспособности товаров и содействие экспорту, совершенствование финансовой инфраструктуры и расширение доступа к финансовым услугам субъектов предпринимательства электронной коммерции, а также на поддержку и содействие в подготовке и переподготовке кадров, развитие навыков и инициатив у субъектов цифрового предпринимательства. В отношении участников электронной коммерции установлен специальный льготный налоговый режим.</w:t>
      </w:r>
    </w:p>
    <w:p>
      <w:pPr>
        <w:spacing w:after="60"/>
        <w:ind w:firstLine="567"/>
        <w:jc w:val="both"/>
      </w:pPr>
      <w:r>
        <w:rPr>
          <w:rFonts w:ascii="Arial" w:cs="Arial" w:eastAsia="Arial" w:hAnsi="Arial"/>
          <w:sz w:val="24"/>
          <w:szCs w:val="24"/>
        </w:rPr>
        <w:t xml:space="preserve">В связи с наблюдающимися экономическими вызовами производители потребительски значимых товаров государств-членов ЕАЭС будут сталкиваться с трудностями, связанными с прекращением поставок импортируемого сырья и прерыванием существующих логистических цепочек. В целях оказания первоочередных мер поддержки, направленных на повышение устойчивости Союза, насыщения внутреннего рынка необходимыми товарами в существующих условиях, в целях реализации мер, направленных на повышение устойчивости экономик государств-членов ЕАЭС, будет продолжена работа по снижению ставок таможенных пошлин и установлению тарифной льготы в отношении критических товаров и сырья, используемого в приоритетных промышленных и аграрных отраслях государств-членов ЕАЭС.</w:t>
      </w:r>
    </w:p>
    <w:p>
      <w:pPr>
        <w:spacing w:after="60"/>
        <w:ind w:firstLine="567"/>
        <w:jc w:val="both"/>
      </w:pPr>
      <w:r>
        <w:rPr>
          <w:rFonts w:ascii="Arial" w:cs="Arial" w:eastAsia="Arial" w:hAnsi="Arial"/>
          <w:sz w:val="24"/>
          <w:szCs w:val="24"/>
        </w:rPr>
        <w:t xml:space="preserve">Снижение ввозных пошлин, а также реализация Соглашения ВТО по упрощению процедур торговли окажет положительное влияние на рост объемов импорта, и будет стимулировать сокращение "серого" импорта.</w:t>
      </w:r>
    </w:p>
    <w:p>
      <w:pPr>
        <w:spacing w:after="60"/>
        <w:ind w:firstLine="567"/>
        <w:jc w:val="both"/>
      </w:pPr>
      <w:r>
        <w:rPr>
          <w:rFonts w:ascii="Arial" w:cs="Arial" w:eastAsia="Arial" w:hAnsi="Arial"/>
          <w:sz w:val="24"/>
          <w:szCs w:val="24"/>
        </w:rPr>
        <w:t xml:space="preserve">В целях установления государственного регулирования за перемещением вооружения, военной техники, продукции и услуг военного назначения, в том числе экспортом, импортом и транзитом продукции военного назначения принят </w:t>
      </w:r>
      <w:hyperlink w:history="1" r:id="rIdgvonivr8keoiqfhf09bc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4rky5h2-28cdxz8dlyzv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"Об экспортном контроле" от 15 февраля 2023 № 25.</w:t>
      </w:r>
    </w:p>
    <w:p>
      <w:pPr>
        <w:spacing w:after="60"/>
        <w:ind w:firstLine="567"/>
        <w:jc w:val="both"/>
      </w:pPr>
      <w:r>
        <w:rPr>
          <w:rFonts w:ascii="Arial" w:cs="Arial" w:eastAsia="Arial" w:hAnsi="Arial"/>
          <w:sz w:val="24"/>
          <w:szCs w:val="24"/>
        </w:rPr>
        <w:t xml:space="preserve">В целях совершенствования системы экспортного контроля в Кыргызской Республике и механизма контроля за внешнеэкономической деятельностью в отношении видов сырья и материалов, оборудования и технологий, научно-технической информации, работ и услуг, продукции двойного назначения и результатов интеллектуальной деятельности принят Национальный контрольный список Кыргызской Республики контролируемой продукции (постановление Кабинета Министров Кыргызской Республики "О внесении изменений в </w:t>
      </w:r>
      <w:hyperlink w:history="1" r:id="rIdetfcotegw3bvlaxgv_2b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 в том числе технического и обслуживающего персонала" от 15 ноября 2021 года № 264" от 10 февраля 2023 г. № 63) и Система независимой идентификации товаров и технологий, проводимой в целях экспортного контроля (</w:t>
      </w:r>
      <w:hyperlink w:history="1" r:id="rIdvq3ad0toj227e1u11dxz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системе независимой идентификации товаров и технологий, проводимой в целях экспортного контроля" от 13 сентября 2023 года № 469).</w:t>
      </w:r>
    </w:p>
    <w:p>
      <w:pPr>
        <w:spacing w:after="60"/>
        <w:ind w:firstLine="567"/>
        <w:jc w:val="both"/>
      </w:pPr>
      <w:r>
        <w:rPr>
          <w:rFonts w:ascii="Arial" w:cs="Arial" w:eastAsia="Arial" w:hAnsi="Arial"/>
          <w:sz w:val="24"/>
          <w:szCs w:val="24"/>
        </w:rPr>
        <w:t xml:space="preserve">Будут проводиться консультации с бизнес сообществом, в части оказания содействия в открытии независимых центров для проведения идентификации сырья и материалов, оборудования и технологий, научно-технической информации, работ и услуг, продукции двойного назначения и результатов интеллектуальной деятельности, включенных в Национальный контрольный список Кыргызской Республики контролируемой продукции.</w:t>
      </w:r>
    </w:p>
    <w:p>
      <w:pPr>
        <w:spacing w:after="60"/>
        <w:ind w:firstLine="567"/>
        <w:jc w:val="both"/>
      </w:pPr>
      <w:r>
        <w:rPr>
          <w:rFonts w:ascii="Arial" w:cs="Arial" w:eastAsia="Arial" w:hAnsi="Arial"/>
          <w:sz w:val="24"/>
          <w:szCs w:val="24"/>
        </w:rPr>
        <w:t xml:space="preserve">Будет продолжена работа с государственными органами по усилению контроля лицензирования контролируемой продукцией в Кыргызской Республике, в частности военных товаров и товаров двойного назначения, включенных в систему управления рисками (СУР), и в Национальный контрольный список (НКС), а также использования информационной системы электронных товаротранспортных накладных и электронных счет-фактур (ЭСФ) для осуществления мониторинга контролируемой продукции, в целях недопущения перетока таких товаров в другие страны.</w:t>
      </w:r>
    </w:p>
    <w:p>
      <w:pPr>
        <w:spacing w:after="60"/>
        <w:ind w:firstLine="567"/>
        <w:jc w:val="both"/>
      </w:pPr>
      <w:r>
        <w:rPr>
          <w:rFonts w:ascii="Arial" w:cs="Arial" w:eastAsia="Arial" w:hAnsi="Arial"/>
          <w:sz w:val="24"/>
          <w:szCs w:val="24"/>
        </w:rPr>
        <w:t xml:space="preserve">Объем внешнеторгового оборота на 2025 г. прогнозируется на уровне 18,1 млрд. долл. США, с номинальным ростом уровня 2024 г. на 6,9%.</w:t>
      </w:r>
    </w:p>
    <w:p>
      <w:pPr>
        <w:spacing w:after="60"/>
        <w:ind w:firstLine="567"/>
        <w:jc w:val="both"/>
      </w:pPr>
      <w:r>
        <w:rPr>
          <w:rFonts w:ascii="Arial" w:cs="Arial" w:eastAsia="Arial" w:hAnsi="Arial"/>
          <w:sz w:val="24"/>
          <w:szCs w:val="24"/>
        </w:rPr>
        <w:t xml:space="preserve">Объем экспортных поставок прогнозируется в сумме 3,7 млрд. долл. США и увеличится на 4,6% за счет увеличения экспорта цемента на 6,0%, основных металлов - на 7,5%, продукции легкой промышленности - на 5,3%, овощи и фрукты - на 4,8% и др.</w:t>
      </w:r>
    </w:p>
    <w:p>
      <w:pPr>
        <w:spacing w:after="60"/>
        <w:ind w:firstLine="567"/>
        <w:jc w:val="both"/>
      </w:pPr>
      <w:r>
        <w:rPr>
          <w:rFonts w:ascii="Arial" w:cs="Arial" w:eastAsia="Arial" w:hAnsi="Arial"/>
          <w:sz w:val="24"/>
          <w:szCs w:val="24"/>
        </w:rPr>
        <w:t xml:space="preserve">Объем импорта прогнозируется в размере 14,4 млрд. долл. США и рост составит 107,5%. Ожидается увеличение объемов почти по всем основным статьям импорта.</w:t>
      </w:r>
    </w:p>
    <w:p>
      <w:pPr>
        <w:spacing w:after="60"/>
        <w:ind w:firstLine="567"/>
        <w:jc w:val="both"/>
      </w:pPr>
      <w:r>
        <w:rPr>
          <w:rFonts w:ascii="Arial" w:cs="Arial" w:eastAsia="Arial" w:hAnsi="Arial"/>
          <w:sz w:val="24"/>
          <w:szCs w:val="24"/>
        </w:rPr>
        <w:t xml:space="preserve">В результате отрицательное сальдо экспорта и импорта товаров сложится на уровне 10,7 млрд. долл. США. Это обусловлено сокращением экспорта отдельных видов строительных материалов в соседние страны, которые планируют ввод новых и дальнейшее наращивание мощностей собственного производства. При этом увеличиваются объемы импорта за счет роста мировых цен на нефтепродукты и продовольствия, а также увеличиваются объемы импорта сырьевых товаров для покрытия потребности вновь создаваемых предприятий в легкой промышленности и машиностроении. Кроме того запланирован на среднесрочный период ежегодный импорт электроэнергии (3,5 млрд. кВт. ч.) для покрытия дефицита внутреннего потребления.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14</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ВВП по использованию (в % к ВВП)</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91"/>
        <w:gridCol w:w="1535"/>
        <w:gridCol w:w="1152"/>
      </w:tblGrid>
      <w:tr>
        <w:tc>
          <w:tcPr>
            <w:tcW w:type="dxa" w:w="749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5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w:t>
            </w:r>
          </w:p>
        </w:tc>
        <w:tc>
          <w:tcPr>
            <w:tcW w:type="dxa" w:w="11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w:t>
            </w:r>
          </w:p>
        </w:tc>
      </w:tr>
      <w:tr>
        <w:tc>
          <w:tcPr>
            <w:vMerge w:val="continue"/>
            <w:tcBorders>
              <w:top w:val="single" w:color="CBBF9E" w:sz="4"/>
              <w:left w:val="single" w:color="CBBF9E" w:sz="4"/>
              <w:bottom w:val="single" w:color="CBBF9E" w:sz="4"/>
              <w:right w:val="single" w:color="CBBF9E" w:sz="4"/>
            </w:tcBorders>
          </w:tcPr>
          <w:p/>
        </w:tc>
        <w:tc>
          <w:tcPr>
            <w:tcW w:type="dxa" w:w="1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w:t>
            </w:r>
          </w:p>
        </w:tc>
      </w:tr>
      <w:tr>
        <w:tc>
          <w:tcPr>
            <w:tcW w:type="dxa" w:w="7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Потребление</w:t>
            </w:r>
          </w:p>
        </w:tc>
        <w:tc>
          <w:tcPr>
            <w:tcW w:type="dxa" w:w="1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7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86,6</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w:t>
            </w:r>
          </w:p>
        </w:tc>
      </w:tr>
      <w:tr>
        <w:tc>
          <w:tcPr>
            <w:tcW w:type="dxa" w:w="7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r>
      <w:tr>
        <w:tc>
          <w:tcPr>
            <w:tcW w:type="dxa" w:w="74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Валовые инвестиции</w:t>
            </w:r>
          </w:p>
        </w:tc>
        <w:tc>
          <w:tcPr>
            <w:tcW w:type="dxa" w:w="1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w:t>
            </w:r>
          </w:p>
        </w:tc>
      </w:tr>
      <w:tr>
        <w:tc>
          <w:tcPr>
            <w:tcW w:type="dxa" w:w="7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r>
      <w:tr>
        <w:tc>
          <w:tcPr>
            <w:tcW w:type="dxa" w:w="7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Программы государственных инвестиций (внешние)</w:t>
            </w:r>
          </w:p>
        </w:tc>
        <w:tc>
          <w:tcPr>
            <w:tcW w:type="dxa" w:w="1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7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w:t>
            </w:r>
          </w:p>
        </w:tc>
      </w:tr>
      <w:tr>
        <w:tc>
          <w:tcPr>
            <w:tcW w:type="dxa" w:w="7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1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w:t>
            </w:r>
          </w:p>
        </w:tc>
      </w:tr>
      <w:tr>
        <w:tc>
          <w:tcPr>
            <w:tcW w:type="dxa" w:w="7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1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7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*По методике МВФ</w:t>
      </w:r>
    </w:p>
    <w:p>
      <w:pPr>
        <w:spacing w:after="60"/>
        <w:ind w:firstLine="567"/>
        <w:jc w:val="both"/>
      </w:pPr>
      <w:r>
        <w:rPr>
          <w:rFonts w:ascii="Arial" w:cs="Arial" w:eastAsia="Arial" w:hAnsi="Arial"/>
          <w:sz w:val="24"/>
          <w:szCs w:val="24"/>
        </w:rPr>
        <w:t xml:space="preserve">Принимаемые меры по улучшению благосостояния населения, увеличению размера доходов населения, а также прогнозируемое увеличение объемов импорта позволят увеличить потребление. Рост уровня потребления прогнозируется на уровне 6,1%.</w:t>
      </w:r>
    </w:p>
    <w:p>
      <w:pPr>
        <w:spacing w:after="60"/>
        <w:ind w:firstLine="567"/>
        <w:jc w:val="both"/>
      </w:pPr>
      <w:r>
        <w:rPr>
          <w:rFonts w:ascii="Arial" w:cs="Arial" w:eastAsia="Arial" w:hAnsi="Arial"/>
          <w:sz w:val="24"/>
          <w:szCs w:val="24"/>
        </w:rPr>
        <w:t xml:space="preserve">Прогнозируется, что в 2025 г. доля частного потребления составит 86,4% от объема ВВП, темп роста сложится на уровне 107,0%. Частные потребительские расходы будут подкреплены прогнозируемым номинальным ростом денежных доходов населения на 6,0% за счет создания новых рабочих мест, ростом средней номинальной заработной платы на 6,6% и размеров социальных выплат.</w:t>
      </w:r>
    </w:p>
    <w:p>
      <w:pPr>
        <w:spacing w:after="60"/>
        <w:ind w:firstLine="567"/>
        <w:jc w:val="both"/>
      </w:pPr>
      <w:r>
        <w:rPr>
          <w:rFonts w:ascii="Arial" w:cs="Arial" w:eastAsia="Arial" w:hAnsi="Arial"/>
          <w:sz w:val="24"/>
          <w:szCs w:val="24"/>
        </w:rPr>
        <w:t xml:space="preserve">В связи с реализацией крупных инвестиционных проектов в энергетике, транспорте, активизацией деятельности "ГИК" по привлечению инвестиций, взаимодействию с международными корпорациями, созданию совместных предприятий, расширения использования механизмов ГЧП, в 2025 г. прогнозируется некоторое увеличение доли государственных инвестиций до 3,3%.</w:t>
      </w:r>
    </w:p>
    <w:p>
      <w:pPr>
        <w:spacing w:after="60"/>
        <w:ind w:firstLine="567"/>
        <w:jc w:val="both"/>
      </w:pPr>
      <w:r>
        <w:rPr>
          <w:rFonts w:ascii="Arial" w:cs="Arial" w:eastAsia="Arial" w:hAnsi="Arial"/>
          <w:sz w:val="24"/>
          <w:szCs w:val="24"/>
        </w:rPr>
        <w:t xml:space="preserve">Для развития экономики необходима активизация инвестиционных процессов, основными источниками роста финансирования инвестиций являются средства предприятий, населения, иностранные кредиты и прямые иностранные инвестиции.</w:t>
      </w:r>
    </w:p>
    <w:p>
      <w:pPr>
        <w:spacing w:after="200" w:before="200"/>
        <w:jc w:val="center"/>
      </w:pPr>
      <w:r>
        <w:rPr>
          <w:rFonts w:ascii="Arial" w:cs="Arial" w:eastAsia="Arial" w:hAnsi="Arial"/>
          <w:b/>
          <w:bCs/>
          <w:sz w:val="24"/>
          <w:szCs w:val="24"/>
        </w:rPr>
        <w:t xml:space="preserve">8. Региональное развитие</w:t>
      </w:r>
    </w:p>
    <w:p>
      <w:pPr>
        <w:spacing w:after="60"/>
        <w:ind w:firstLine="567"/>
        <w:jc w:val="both"/>
      </w:pPr>
      <w:r>
        <w:rPr>
          <w:rFonts w:ascii="Arial" w:cs="Arial" w:eastAsia="Arial" w:hAnsi="Arial"/>
          <w:sz w:val="24"/>
          <w:szCs w:val="24"/>
        </w:rPr>
        <w:t xml:space="preserve">Основные направления развития регионов страны будут осуществляться в рамках реализации </w:t>
      </w:r>
      <w:hyperlink w:history="1" r:id="rIdff2ofw7hwyenjk0f1a94g">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развития Кыргызской Республики до 2026 г. (</w:t>
      </w:r>
      <w:hyperlink w:history="1" r:id="rIdi6xg7uczdvcvs97lsj-ve">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"Национальной программе развития Кыргызской Республики до 2026 года" от 12 октября 2021 г. № 435), где предусмотрены переход к комплексному развитию и реформам административно-территориального устройства, а также </w:t>
      </w:r>
      <w:hyperlink w:history="1" r:id="rIdcpc3gctooy07kiozjkg_d">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дальнейших мерах по совершенствованию административно-территориального устройства и развитию регионов Кыргызской Республики" от 18 октября 2022 г. № 350.</w:t>
      </w:r>
    </w:p>
    <w:p>
      <w:pPr>
        <w:spacing w:after="60"/>
        <w:ind w:firstLine="567"/>
        <w:jc w:val="both"/>
      </w:pPr>
      <w:r>
        <w:rPr>
          <w:rFonts w:ascii="Arial" w:cs="Arial" w:eastAsia="Arial" w:hAnsi="Arial"/>
          <w:sz w:val="24"/>
          <w:szCs w:val="24"/>
        </w:rPr>
        <w:t xml:space="preserve">В целях социально-экономического развития, улучшению жизненных условий населения, проживающего на приграничных территориях, созданию необходимых условий для постоянного проживания и снижение уровня внутренней миграции среди жителей приграничных территорий реализуется Государственная программа по обеспечению безопасности и социально-экономическому развитию отдельных приграничных территорий Кыргызской Республики, имеющих особый статус, на 2021-2025 гг. (</w:t>
      </w:r>
      <w:hyperlink w:history="1" r:id="rIdwssubqhnbaphuk9x8s5u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28 апреля 2021 г. № 4537-VI).</w:t>
      </w:r>
    </w:p>
    <w:p>
      <w:pPr>
        <w:spacing w:after="60"/>
        <w:ind w:firstLine="567"/>
        <w:jc w:val="both"/>
      </w:pPr>
      <w:r>
        <w:rPr>
          <w:rFonts w:ascii="Arial" w:cs="Arial" w:eastAsia="Arial" w:hAnsi="Arial"/>
          <w:sz w:val="24"/>
          <w:szCs w:val="24"/>
        </w:rPr>
        <w:t xml:space="preserve">В целях обеспечения комплексного развития Баткенской области Кыргызской Республики будет проводиться активная работа по реализации Программы развития Баткенской области Кыргызской Республики на 2021-2035 гг. (постановление Кабинета Министров Кыргызской Республики от 1 сентября 2021 г. № 159 ДСП). Средства в республиканском бюджете, предусмотренные на развитие Баткенской области на 2021-2035 гг. будут направляться в соответствии с утвержденным </w:t>
      </w:r>
      <w:hyperlink w:history="1" r:id="rIdvqvvwl9bis-7fpe6wvk16">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использования средств (</w:t>
      </w:r>
      <w:hyperlink w:history="1" r:id="rIdjuxyldstr6szpj_gy1yl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uikrchqti8kp1wbecuvta">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использования средств, предусмотренных в республиканском бюджете на реализацию Программы развития Баткенской области на 2021-2035 годы" от 24 марта 2023 г. № 166), где предусмотрена процедура отбора проектов, реализация которых будет профинансирована за счет ежегодно выделяемых в соответствии с </w:t>
      </w:r>
      <w:hyperlink w:history="1" r:id="rIdiej9kxxseckqxx2k6pxf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Баткенской области".</w:t>
      </w:r>
    </w:p>
    <w:p>
      <w:pPr>
        <w:spacing w:after="60"/>
        <w:ind w:firstLine="567"/>
        <w:jc w:val="both"/>
      </w:pPr>
      <w:r>
        <w:rPr>
          <w:rFonts w:ascii="Arial" w:cs="Arial" w:eastAsia="Arial" w:hAnsi="Arial"/>
          <w:sz w:val="24"/>
          <w:szCs w:val="24"/>
        </w:rPr>
        <w:t xml:space="preserve">Продолжится работа в рамках </w:t>
      </w:r>
      <w:hyperlink w:history="1" r:id="rIdjpfb9etc0h18i-pg3ktcp">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первоочередных мерах по восстановлению и развитию административно-территориальных единиц Баткенской и Ошской областей" от 17 сентября 2022 г. № 313.</w:t>
      </w:r>
    </w:p>
    <w:p>
      <w:pPr>
        <w:spacing w:after="60"/>
        <w:ind w:firstLine="567"/>
        <w:jc w:val="both"/>
      </w:pPr>
      <w:r>
        <w:rPr>
          <w:rFonts w:ascii="Arial" w:cs="Arial" w:eastAsia="Arial" w:hAnsi="Arial"/>
          <w:sz w:val="24"/>
          <w:szCs w:val="24"/>
        </w:rPr>
        <w:t xml:space="preserve">В целях продвижения реформы административно-территориального устройства приняты:</w:t>
      </w:r>
    </w:p>
    <w:p>
      <w:pPr>
        <w:spacing w:after="60"/>
        <w:ind w:firstLine="567"/>
        <w:jc w:val="both"/>
      </w:pPr>
      <w:r>
        <w:rPr>
          <w:rFonts w:ascii="Arial" w:cs="Arial" w:eastAsia="Arial" w:hAnsi="Arial"/>
          <w:sz w:val="24"/>
          <w:szCs w:val="24"/>
        </w:rPr>
        <w:t xml:space="preserve">- </w:t>
      </w:r>
      <w:hyperlink w:history="1" r:id="rIdwrrqeu6pboaw7x66287qq">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объединении айылных аймаков Тюпского района Иссык-Кульской области Кыргызской Республики в рамках проведения административно-территориальной реформы в пилотном режиме" от 28 декабря 2022 г. № 414, которым предусмотрено из 13 айылных аймаков образовать 5 айылных аймаков;</w:t>
      </w:r>
    </w:p>
    <w:p>
      <w:pPr>
        <w:spacing w:after="60"/>
        <w:ind w:firstLine="567"/>
        <w:jc w:val="both"/>
      </w:pPr>
      <w:r>
        <w:rPr>
          <w:rFonts w:ascii="Arial" w:cs="Arial" w:eastAsia="Arial" w:hAnsi="Arial"/>
          <w:sz w:val="24"/>
          <w:szCs w:val="24"/>
        </w:rPr>
        <w:t xml:space="preserve">- </w:t>
      </w:r>
      <w:hyperlink w:history="1" r:id="rIdzmjarfo8ek_5rn1lrt4ns">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административно-территориальной реформе на уровне айылных аймаков Нарынской области Кыргызской Республики в пилотном режиме" от 3 апреля 2023 г. № 85, которым предусмотрены образование 27 укрупненных айылных аймаков;</w:t>
      </w:r>
    </w:p>
    <w:p>
      <w:pPr>
        <w:spacing w:after="60"/>
        <w:ind w:firstLine="567"/>
        <w:jc w:val="both"/>
      </w:pPr>
      <w:r>
        <w:rPr>
          <w:rFonts w:ascii="Arial" w:cs="Arial" w:eastAsia="Arial" w:hAnsi="Arial"/>
          <w:sz w:val="24"/>
          <w:szCs w:val="24"/>
        </w:rPr>
        <w:t xml:space="preserve">- </w:t>
      </w:r>
      <w:hyperlink w:history="1" r:id="rIdlgzm1w1zdd6qfadwmlms1">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проведении административно-территориальной реформы в пилотном режиме на уровне айылных аймаков и городов Кыргызской Республики" от 29 декабря 2023 г. № 370, которым из 452 айылных аймаков, предусмотрены образование 235 айылных аймаков;</w:t>
      </w:r>
    </w:p>
    <w:p>
      <w:pPr>
        <w:spacing w:after="60"/>
        <w:ind w:firstLine="567"/>
        <w:jc w:val="both"/>
      </w:pPr>
      <w:r>
        <w:rPr>
          <w:rFonts w:ascii="Arial" w:cs="Arial" w:eastAsia="Arial" w:hAnsi="Arial"/>
          <w:sz w:val="24"/>
          <w:szCs w:val="24"/>
        </w:rPr>
        <w:t xml:space="preserve">- принят план действий Кабинета Министров Кыргызской Республики на 2023-2024 гг. по реализации Концепции административно-территориальной реформы на уровне айылных аймаков Тюпского района Иссык-Кульской области Кыргызской Республики в пилотном режиме (</w:t>
      </w:r>
      <w:hyperlink w:history="1" r:id="rId7cbe3u7uqcmqj2pscgzf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реализации </w:t>
      </w:r>
      <w:hyperlink w:history="1" r:id="rIdatuubo53x8vplcgexyuvj">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административно-территориальной реформе на уровне айылных аймаков Тюпского района Иссык-Кульской области Кыргызской Республики в пилотном режиме" от 28 декабря 2022 г. № 414" от 5 апреля 2023 г. № 185).</w:t>
      </w:r>
    </w:p>
    <w:p>
      <w:pPr>
        <w:spacing w:after="60"/>
        <w:ind w:firstLine="567"/>
        <w:jc w:val="both"/>
      </w:pPr>
      <w:r>
        <w:rPr>
          <w:rFonts w:ascii="Arial" w:cs="Arial" w:eastAsia="Arial" w:hAnsi="Arial"/>
          <w:sz w:val="24"/>
          <w:szCs w:val="24"/>
        </w:rPr>
        <w:t xml:space="preserve">В целях обеспечения условий для ускорения темпов устойчивого социально-экономического развития регионов будет разработана Государственная программа развития регионов Кыргызской Республики на период 2024-2027 гг.</w:t>
      </w:r>
    </w:p>
    <w:p>
      <w:pPr>
        <w:spacing w:after="60"/>
        <w:ind w:firstLine="567"/>
        <w:jc w:val="both"/>
      </w:pPr>
      <w:r>
        <w:rPr>
          <w:rFonts w:ascii="Arial" w:cs="Arial" w:eastAsia="Arial" w:hAnsi="Arial"/>
          <w:sz w:val="24"/>
          <w:szCs w:val="24"/>
        </w:rPr>
        <w:t xml:space="preserve">В региональном разрезе основная доля производства ВВП по оценке на 2025 г. будет обеспечиваться за счет функционирования экономики города Бишкек, Чуйской, Иссык-Кульской и Джалал-Абадской областей, с удельным весом 77,9%, суммарный положительный вклад которых в рост ВВП страны составит 4,86%. Значительные доли в общем объеме производства ВВП указанных областей связаны с тем, что на территории Джалал-Абадской области производится около 90,0% вырабатываемой в республике электроэнергии, в Иссык-Кульской области расположены предприятия по разработке золоторудного месторождения Кумтор, в Чуйской области расположены крупные предприятия как Аффинажный завод, по разработке месторождения Талды-Булак Левобережный (ОсОО "Алтынкен"), НПЗ "Джунда", завод листового стекла ОсОО "Интергласс", ОАО "Кантский цементный завод", ОсОО "Умут и Ко", и в городе Бишкек (44,2%) расположены крупные предприятия, сосредоточен малый и средний бизнес, а также большинство крупных рынков. С введением в эксплуатацию месторождения Джеруй в Таласской области, объемы валовой продукции увеличились. Оставшаяся часть доли будет распределена между другими областями Ошской, Баткенской, Нарынской и городом Ош с удельным весом на уровне 22,1%.</w:t>
      </w:r>
    </w:p>
    <w:p>
      <w:pPr>
        <w:spacing w:after="60"/>
        <w:ind w:firstLine="567"/>
        <w:jc w:val="both"/>
      </w:pPr>
      <w:r>
        <w:rPr>
          <w:rFonts w:ascii="Arial" w:cs="Arial" w:eastAsia="Arial" w:hAnsi="Arial"/>
          <w:sz w:val="24"/>
          <w:szCs w:val="24"/>
        </w:rPr>
        <w:t xml:space="preserve">В региональном разрезе прогнозируется рост объемов производства во всех секторах экономики:</w:t>
      </w:r>
    </w:p>
    <w:p>
      <w:pPr>
        <w:spacing w:after="60"/>
        <w:ind w:firstLine="567"/>
        <w:jc w:val="both"/>
      </w:pPr>
      <w:r>
        <w:rPr>
          <w:rFonts w:ascii="Arial" w:cs="Arial" w:eastAsia="Arial" w:hAnsi="Arial"/>
          <w:sz w:val="24"/>
          <w:szCs w:val="24"/>
        </w:rPr>
        <w:t xml:space="preserve">- в сельском хозяйстве основную долю будут занимать Чуйская (26,8%), Ошская (19,3%), Иссык-Кульская (12,7%) и Джалал-Абадская (18,7%) области;</w:t>
      </w:r>
    </w:p>
    <w:p>
      <w:pPr>
        <w:spacing w:after="60"/>
        <w:ind w:firstLine="567"/>
        <w:jc w:val="both"/>
      </w:pPr>
      <w:r>
        <w:rPr>
          <w:rFonts w:ascii="Arial" w:cs="Arial" w:eastAsia="Arial" w:hAnsi="Arial"/>
          <w:sz w:val="24"/>
          <w:szCs w:val="24"/>
        </w:rPr>
        <w:t xml:space="preserve">- в промышленности основную долю будут занимать Иссык-Кульская (15,6%), Чуйская (43,9%), Джалал-Абадская (13,6%) области и город Бишкек (12,7%);</w:t>
      </w:r>
    </w:p>
    <w:p>
      <w:pPr>
        <w:spacing w:after="60"/>
        <w:ind w:firstLine="567"/>
        <w:jc w:val="both"/>
      </w:pPr>
      <w:r>
        <w:rPr>
          <w:rFonts w:ascii="Arial" w:cs="Arial" w:eastAsia="Arial" w:hAnsi="Arial"/>
          <w:sz w:val="24"/>
          <w:szCs w:val="24"/>
        </w:rPr>
        <w:t xml:space="preserve">- в строительстве за счет реализации инвестиционных проектов в транспортной, горнодобывающей и энергетической отраслях, а также сельского водоснабжения, основную долю будут занимать город Бишкек (35,6%), Чуйская (14,0%), Джалал-Абадская (13,8%) и Иссык-Кульская (14,2%) области;</w:t>
      </w:r>
    </w:p>
    <w:p>
      <w:pPr>
        <w:spacing w:after="60"/>
        <w:ind w:firstLine="567"/>
        <w:jc w:val="both"/>
      </w:pPr>
      <w:r>
        <w:rPr>
          <w:rFonts w:ascii="Arial" w:cs="Arial" w:eastAsia="Arial" w:hAnsi="Arial"/>
          <w:sz w:val="24"/>
          <w:szCs w:val="24"/>
        </w:rPr>
        <w:t xml:space="preserve">- в сфере услуг прогнозируется рост объемов во всех регионах, где основную долю будут занимать города Бишкек (49,9%) и Ош (7,3%), Чуйская (11,4%), Джалал-Абадская (10,3%), Ошская (7,2%).</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15</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Вклады регионов в производство ВВП</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01"/>
        <w:gridCol w:w="1128"/>
        <w:gridCol w:w="1128"/>
        <w:gridCol w:w="1255"/>
        <w:gridCol w:w="1255"/>
        <w:gridCol w:w="1255"/>
        <w:gridCol w:w="1255"/>
      </w:tblGrid>
      <w:tr>
        <w:tc>
          <w:tcPr>
            <w:tcW w:type="dxa" w:w="290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25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 ожидаемое</w:t>
            </w:r>
          </w:p>
        </w:tc>
        <w:tc>
          <w:tcPr>
            <w:tcW w:type="dxa" w:w="502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 прогноз</w:t>
            </w:r>
          </w:p>
        </w:tc>
      </w:tr>
      <w:tr>
        <w:tc>
          <w:tcPr>
            <w:vMerge w:val="continue"/>
            <w:tcBorders>
              <w:top w:val="single" w:color="CBBF9E" w:sz="4"/>
              <w:left w:val="single" w:color="CBBF9E" w:sz="4"/>
              <w:bottom w:val="single" w:color="CBBF9E" w:sz="4"/>
              <w:right w:val="single" w:color="CBBF9E" w:sz="4"/>
            </w:tcBorders>
          </w:tcP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рост ВВП, в %</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1414726,7</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106,3</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1624087,2</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106,0</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областям и городам:</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48221,4</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54679,4</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138715,4</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158074,5</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0,56</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114978,7</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130459,1</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0,65</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34759,6</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39769,5</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98060,4</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110486,4</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50428,3</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55888,7</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213580,5</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242752,7</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0,92</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633364,9</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733659,6</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w:t>
            </w:r>
          </w:p>
        </w:tc>
      </w:tr>
      <w:tr>
        <w:tc>
          <w:tcPr>
            <w:tcW w:type="dxa" w:w="2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82617,6</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98317,1</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2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w:t>
            </w:r>
          </w:p>
        </w:tc>
      </w:tr>
    </w:tbl>
    <w:p>
      <w:pPr>
        <w:spacing w:after="120" w:before="120"/>
        <w:jc w:val="left"/>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9. Социальная сфера</w:t>
      </w:r>
    </w:p>
    <w:p>
      <w:pPr>
        <w:spacing w:after="60"/>
        <w:ind w:firstLine="567"/>
        <w:jc w:val="both"/>
      </w:pPr>
      <w:r>
        <w:rPr>
          <w:rFonts w:ascii="Arial" w:cs="Arial" w:eastAsia="Arial" w:hAnsi="Arial"/>
          <w:sz w:val="24"/>
          <w:szCs w:val="24"/>
        </w:rPr>
        <w:t xml:space="preserve">Политика социального обеспечения, в среднесрочной перспективе, как и прежде, будет направлена, в первую очередь, на выполнение в полном объеме гарантированных социальных обязательств государства, на повышение уровня жизни населения и улучшение положения социально незащищенных категорий граждан (дети и семьи в трудной жизненной ситуации (ТЖС), лица с инвалидностью, пожилые граждане), с учетом реальных возможностей государства.</w:t>
      </w:r>
    </w:p>
    <w:p>
      <w:pPr>
        <w:spacing w:after="60"/>
        <w:ind w:firstLine="567"/>
        <w:jc w:val="both"/>
      </w:pPr>
      <w:r>
        <w:rPr>
          <w:rFonts w:ascii="Arial" w:cs="Arial" w:eastAsia="Arial" w:hAnsi="Arial"/>
          <w:sz w:val="24"/>
          <w:szCs w:val="24"/>
        </w:rPr>
        <w:t xml:space="preserve">Основное внимание будет направлено оказанию социальной помощи малоимущим и малообеспеченным семьям на основе социального контракта.</w:t>
      </w:r>
    </w:p>
    <w:p>
      <w:pPr>
        <w:spacing w:after="60"/>
        <w:ind w:firstLine="567"/>
        <w:jc w:val="both"/>
      </w:pPr>
      <w:r>
        <w:rPr>
          <w:rFonts w:ascii="Arial" w:cs="Arial" w:eastAsia="Arial" w:hAnsi="Arial"/>
          <w:sz w:val="24"/>
          <w:szCs w:val="24"/>
        </w:rPr>
        <w:t xml:space="preserve">Будут приложены усилия для совершенствования нормативной базы по вопросам семьи и защиты интересов детей, где будет уделено созданию условий для социализации и интеграции семей и детей, находящихся в ТЖС, в общество.</w:t>
      </w:r>
    </w:p>
    <w:p>
      <w:pPr>
        <w:spacing w:after="60"/>
        <w:ind w:firstLine="567"/>
        <w:jc w:val="both"/>
      </w:pPr>
      <w:r>
        <w:rPr>
          <w:rFonts w:ascii="Arial" w:cs="Arial" w:eastAsia="Arial" w:hAnsi="Arial"/>
          <w:sz w:val="24"/>
          <w:szCs w:val="24"/>
        </w:rPr>
        <w:t xml:space="preserve">Планируется поэтапно изменить подходы к определению и решению проблем инвалидности в соответствии с международными стандартами и нормами. Также усилия будут направлены на обеспечение доступа социально незащищенных категорий граждан к реабилитационным, социальным услугам на основе современных цифровых технологий.</w:t>
      </w:r>
    </w:p>
    <w:p>
      <w:pPr>
        <w:spacing w:after="60"/>
        <w:ind w:firstLine="567"/>
        <w:jc w:val="both"/>
      </w:pPr>
      <w:r>
        <w:rPr>
          <w:rFonts w:ascii="Arial" w:cs="Arial" w:eastAsia="Arial" w:hAnsi="Arial"/>
          <w:sz w:val="24"/>
          <w:szCs w:val="24"/>
        </w:rPr>
        <w:t xml:space="preserve">Будут приняты меры по внедрению комплекса мер, направленных на защиту прав и улучшение условий жизни пожилых людей.</w:t>
      </w:r>
    </w:p>
    <w:p>
      <w:pPr>
        <w:spacing w:after="60"/>
        <w:ind w:firstLine="567"/>
        <w:jc w:val="both"/>
      </w:pPr>
      <w:r>
        <w:rPr>
          <w:rFonts w:ascii="Arial" w:cs="Arial" w:eastAsia="Arial" w:hAnsi="Arial"/>
          <w:sz w:val="24"/>
          <w:szCs w:val="24"/>
        </w:rPr>
        <w:t xml:space="preserve">В сфере труда и содействия занятости населения, в среднесрочной перспективе, планируется разработка проекта комплексной программы по обеспечению достойным трудом (достойная заработная плата, достойная занятость, социальное партнерство), совершенствование норм законодательства Кыргызской Республики в сфере труда и трудовых отношений, в том числе по охране и безопасности труда, условий труда. Будут приняты меры по улучшению профессиональной подготовки и переквалификации кадров на основе национальной рамки квалификаций, активизирована работа по повышению качества прогнозирования рынка труда. Особое внимание будет направлено вопросам цифровизации трудовых отношений и системы содействия занятости населения.</w:t>
      </w:r>
    </w:p>
    <w:p>
      <w:pPr>
        <w:spacing w:after="60"/>
        <w:ind w:firstLine="567"/>
        <w:jc w:val="both"/>
      </w:pPr>
      <w:r>
        <w:rPr>
          <w:rFonts w:ascii="Arial" w:cs="Arial" w:eastAsia="Arial" w:hAnsi="Arial"/>
          <w:sz w:val="24"/>
          <w:szCs w:val="24"/>
        </w:rPr>
        <w:t xml:space="preserve">Основные приоритетные направления деятельности в сфере миграции определены в </w:t>
      </w:r>
      <w:r>
        <w:rPr>
          <w:rFonts w:ascii="Arial" w:cs="Arial" w:eastAsia="Arial" w:hAnsi="Arial"/>
          <w:sz w:val="24"/>
          <w:szCs w:val="24"/>
        </w:rPr>
        <w:t xml:space="preserve">Концепции</w:t>
      </w:r>
      <w:r>
        <w:rPr>
          <w:rFonts w:ascii="Arial" w:cs="Arial" w:eastAsia="Arial" w:hAnsi="Arial"/>
          <w:sz w:val="24"/>
          <w:szCs w:val="24"/>
        </w:rPr>
        <w:t xml:space="preserve"> миграционной политики Кыргызской Республики на 2021-2030 гг.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Концепции</w:t>
      </w:r>
      <w:r>
        <w:rPr>
          <w:rFonts w:ascii="Arial" w:cs="Arial" w:eastAsia="Arial" w:hAnsi="Arial"/>
          <w:sz w:val="24"/>
          <w:szCs w:val="24"/>
        </w:rPr>
        <w:t xml:space="preserve"> миграционной политики Кыргызской Республики на 2021-2030 годы" от 4 мая 2021 г. № 191 (далее - Концепция).</w:t>
      </w:r>
    </w:p>
    <w:p>
      <w:pPr>
        <w:spacing w:after="60"/>
        <w:ind w:firstLine="567"/>
        <w:jc w:val="both"/>
      </w:pPr>
      <w:r>
        <w:rPr>
          <w:rFonts w:ascii="Arial" w:cs="Arial" w:eastAsia="Arial" w:hAnsi="Arial"/>
          <w:sz w:val="24"/>
          <w:szCs w:val="24"/>
        </w:rPr>
        <w:t xml:space="preserve">Основной целью Концепции является стабилизация миграционных процессов, направленной на смягчение и минимизацию неблагоприятных факторов, вызывающих и сопровождающих миграцию, с учетом текущих и предстоящих социальных, демографических и экономических вызовов, предупреждение стихийной и неупорядоченной миграции на основе программных действий.</w:t>
      </w:r>
    </w:p>
    <w:p>
      <w:pPr>
        <w:spacing w:after="60"/>
        <w:ind w:firstLine="567"/>
        <w:jc w:val="both"/>
      </w:pPr>
      <w:r>
        <w:rPr>
          <w:rFonts w:ascii="Arial" w:cs="Arial" w:eastAsia="Arial" w:hAnsi="Arial"/>
          <w:sz w:val="24"/>
          <w:szCs w:val="24"/>
        </w:rPr>
        <w:t xml:space="preserve">Будут реализованы конкретные меры по расширению географии трудовой миграции, поддержке граждан в укреплении их конкурентоспособности, а также обеспечении их правовой и экономической безопасности в стране трудовой миграции. Также будут созданы условия трудовым мигрантам и соотечественникам для добровольного инвестирования заработанных средств в экономику страны.</w:t>
      </w:r>
    </w:p>
    <w:p>
      <w:pPr>
        <w:spacing w:after="60"/>
        <w:ind w:firstLine="567"/>
        <w:jc w:val="both"/>
      </w:pPr>
      <w:r>
        <w:rPr>
          <w:rFonts w:ascii="Arial" w:cs="Arial" w:eastAsia="Arial" w:hAnsi="Arial"/>
          <w:sz w:val="24"/>
          <w:szCs w:val="24"/>
        </w:rPr>
        <w:t xml:space="preserve">Будут приняты меры по созданию благоприятных условий для приема этнических кыргызов, переселившихся в Кыргызскую Республику, и их интеграции в общество.</w:t>
      </w:r>
    </w:p>
    <w:p>
      <w:pPr>
        <w:spacing w:after="60"/>
        <w:ind w:firstLine="567"/>
        <w:jc w:val="both"/>
      </w:pPr>
      <w:r>
        <w:rPr>
          <w:rFonts w:ascii="Arial" w:cs="Arial" w:eastAsia="Arial" w:hAnsi="Arial"/>
          <w:sz w:val="24"/>
          <w:szCs w:val="24"/>
        </w:rPr>
        <w:t xml:space="preserve">В рамках реформирования пенсионной и тарифной политики по государственному социальному страхованию будут продолжены меры, направленные на создание эффективной системы социального страхования и пенсионного обеспечения. Целью этих мер является обеспечение достойного уровня жизни для пожилых граждан, поддержание финансовой устойчивости пенсионной системы, а также укрепление страховых принципов и повышение качества предоставляемых услуг.</w:t>
      </w:r>
    </w:p>
    <w:p>
      <w:pPr>
        <w:spacing w:after="60"/>
        <w:ind w:firstLine="567"/>
        <w:jc w:val="both"/>
      </w:pPr>
      <w:r>
        <w:rPr>
          <w:rFonts w:ascii="Arial" w:cs="Arial" w:eastAsia="Arial" w:hAnsi="Arial"/>
          <w:sz w:val="24"/>
          <w:szCs w:val="24"/>
        </w:rPr>
        <w:t xml:space="preserve">Меры по совершенствованию пенсионной и тарифной политики:</w:t>
      </w:r>
    </w:p>
    <w:p>
      <w:pPr>
        <w:spacing w:after="60"/>
        <w:ind w:firstLine="567"/>
        <w:jc w:val="both"/>
      </w:pPr>
      <w:r>
        <w:rPr>
          <w:rFonts w:ascii="Arial" w:cs="Arial" w:eastAsia="Arial" w:hAnsi="Arial"/>
          <w:sz w:val="24"/>
          <w:szCs w:val="24"/>
        </w:rPr>
        <w:t xml:space="preserve">- назначение базовой части пенсии в полном размере;</w:t>
      </w:r>
    </w:p>
    <w:p>
      <w:pPr>
        <w:spacing w:after="60"/>
        <w:ind w:firstLine="567"/>
        <w:jc w:val="both"/>
      </w:pPr>
      <w:r>
        <w:rPr>
          <w:rFonts w:ascii="Arial" w:cs="Arial" w:eastAsia="Arial" w:hAnsi="Arial"/>
          <w:sz w:val="24"/>
          <w:szCs w:val="24"/>
        </w:rPr>
        <w:t xml:space="preserve">- упрощение процедуры назначения и расчета величины первой страховой части пенсии (за стаж до 1996 г.);</w:t>
      </w:r>
    </w:p>
    <w:p>
      <w:pPr>
        <w:spacing w:after="60"/>
        <w:ind w:firstLine="567"/>
        <w:jc w:val="both"/>
      </w:pPr>
      <w:r>
        <w:rPr>
          <w:rFonts w:ascii="Arial" w:cs="Arial" w:eastAsia="Arial" w:hAnsi="Arial"/>
          <w:sz w:val="24"/>
          <w:szCs w:val="24"/>
        </w:rPr>
        <w:t xml:space="preserve">- установление в полном размере страховых частей пенсии для инвалидов III группы;</w:t>
      </w:r>
    </w:p>
    <w:p>
      <w:pPr>
        <w:spacing w:after="60"/>
        <w:ind w:firstLine="567"/>
        <w:jc w:val="both"/>
      </w:pPr>
      <w:r>
        <w:rPr>
          <w:rFonts w:ascii="Arial" w:cs="Arial" w:eastAsia="Arial" w:hAnsi="Arial"/>
          <w:sz w:val="24"/>
          <w:szCs w:val="24"/>
        </w:rPr>
        <w:t xml:space="preserve">- для пенсий по потере кормильца:</w:t>
      </w:r>
    </w:p>
    <w:p>
      <w:pPr>
        <w:spacing w:after="60"/>
        <w:ind w:firstLine="567"/>
        <w:jc w:val="both"/>
      </w:pPr>
      <w:r>
        <w:rPr>
          <w:rFonts w:ascii="Arial" w:cs="Arial" w:eastAsia="Arial" w:hAnsi="Arial"/>
          <w:sz w:val="24"/>
          <w:szCs w:val="24"/>
        </w:rPr>
        <w:t xml:space="preserve">a) увеличение предельного возраста, дающего право на пенсию по потере кормильца без истребования документов об обучении с 16 до 18 лет;</w:t>
      </w:r>
    </w:p>
    <w:p>
      <w:pPr>
        <w:spacing w:after="60"/>
        <w:ind w:firstLine="567"/>
        <w:jc w:val="both"/>
      </w:pPr>
      <w:r>
        <w:rPr>
          <w:rFonts w:ascii="Arial" w:cs="Arial" w:eastAsia="Arial" w:hAnsi="Arial"/>
          <w:sz w:val="24"/>
          <w:szCs w:val="24"/>
        </w:rPr>
        <w:t xml:space="preserve">b) предоставление права на пенсию не только по очной, но и по заочной форме обучения, а также за периоды обучения в иностранных образовательных учреждениях до достижения возраста 23 лет;</w:t>
      </w:r>
    </w:p>
    <w:p>
      <w:pPr>
        <w:spacing w:after="60"/>
        <w:ind w:firstLine="567"/>
        <w:jc w:val="both"/>
      </w:pPr>
      <w:r>
        <w:rPr>
          <w:rFonts w:ascii="Arial" w:cs="Arial" w:eastAsia="Arial" w:hAnsi="Arial"/>
          <w:sz w:val="24"/>
          <w:szCs w:val="24"/>
        </w:rPr>
        <w:t xml:space="preserve">- сохранение надбавок, установленных ранее с учетом районного коэффициента при переезде пенсионера в населенный пункт, где не установлен районный коэффициент;</w:t>
      </w:r>
    </w:p>
    <w:p>
      <w:pPr>
        <w:spacing w:after="60"/>
        <w:ind w:firstLine="567"/>
        <w:jc w:val="both"/>
      </w:pPr>
      <w:r>
        <w:rPr>
          <w:rFonts w:ascii="Arial" w:cs="Arial" w:eastAsia="Arial" w:hAnsi="Arial"/>
          <w:sz w:val="24"/>
          <w:szCs w:val="24"/>
        </w:rPr>
        <w:t xml:space="preserve">- увеличение с 3 до 5 лет срока, за который могут выплачиваться начисленные суммы пенсии за прошлое время, не востребованные пенсионером своевременно;</w:t>
      </w:r>
    </w:p>
    <w:p>
      <w:pPr>
        <w:spacing w:after="60"/>
        <w:ind w:firstLine="567"/>
        <w:jc w:val="both"/>
      </w:pPr>
      <w:r>
        <w:rPr>
          <w:rFonts w:ascii="Arial" w:cs="Arial" w:eastAsia="Arial" w:hAnsi="Arial"/>
          <w:sz w:val="24"/>
          <w:szCs w:val="24"/>
        </w:rPr>
        <w:t xml:space="preserve">- отмена досрочных пенсий с уменьшением размера пенсии и без уменьшения;</w:t>
      </w:r>
    </w:p>
    <w:p>
      <w:pPr>
        <w:spacing w:after="60"/>
        <w:ind w:firstLine="567"/>
        <w:jc w:val="both"/>
      </w:pPr>
      <w:r>
        <w:rPr>
          <w:rFonts w:ascii="Arial" w:cs="Arial" w:eastAsia="Arial" w:hAnsi="Arial"/>
          <w:sz w:val="24"/>
          <w:szCs w:val="24"/>
        </w:rPr>
        <w:t xml:space="preserve">- поэтапное введение страхового стажа, необходимого для получения права на пенсию, с 5 лет в 2024 г. до 20 лет в 2045 г. без изменения пенсионного возраста;</w:t>
      </w:r>
    </w:p>
    <w:p>
      <w:pPr>
        <w:spacing w:after="60"/>
        <w:ind w:firstLine="567"/>
        <w:jc w:val="both"/>
      </w:pPr>
      <w:r>
        <w:rPr>
          <w:rFonts w:ascii="Arial" w:cs="Arial" w:eastAsia="Arial" w:hAnsi="Arial"/>
          <w:sz w:val="24"/>
          <w:szCs w:val="24"/>
        </w:rPr>
        <w:t xml:space="preserve">- освобождение крестьянско-фермерских хозяйств до 1 га от уплаты страховых взносов, с предоставлением права на добровольную уплату страховых взносов.</w:t>
      </w:r>
    </w:p>
    <w:p>
      <w:pPr>
        <w:spacing w:after="60"/>
        <w:ind w:firstLine="567"/>
        <w:jc w:val="both"/>
      </w:pPr>
      <w:r>
        <w:rPr>
          <w:rFonts w:ascii="Arial" w:cs="Arial" w:eastAsia="Arial" w:hAnsi="Arial"/>
          <w:sz w:val="24"/>
          <w:szCs w:val="24"/>
        </w:rPr>
        <w:t xml:space="preserve">Политика развития здравоохранения Кыргызской Республики будет направлена на охрану здоровья населения, стимулирование активного и здорового долголетия, а также осуществление значительных преобразований в сфере здравоохранения. Это включает улучшение системы управления и предоставления медицинских услуг, совершенствование первичных медико-санитарных услуг, модернизацию и оснащение центров семейной медицины с применением современных инновационных и информационных методов. Также в фокусе политики - укрепление защиты материнства и детства, проведение профилактических обследований, включая диагностические исследования в отдаленных и труднодоступных районах республики. Предполагается также внедрение новых механизмов медицинского страхования и изменение принципов и механизмов финансирования системы здравоохранения.</w:t>
      </w:r>
    </w:p>
    <w:p>
      <w:pPr>
        <w:spacing w:after="60"/>
        <w:ind w:firstLine="567"/>
        <w:jc w:val="both"/>
      </w:pPr>
      <w:r>
        <w:rPr>
          <w:rFonts w:ascii="Arial" w:cs="Arial" w:eastAsia="Arial" w:hAnsi="Arial"/>
          <w:sz w:val="24"/>
          <w:szCs w:val="24"/>
        </w:rPr>
        <w:t xml:space="preserve">Политика проводится в соответствии с </w:t>
      </w:r>
      <w:hyperlink w:history="1" r:id="rIdpzwrdom38mrht-5oohrdm">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Правительства Кыргызской Республики по охране здоровья и развитие системы здравоохранения на 2019-2030 гг. "Здоровый человек - процветающая страна" (</w:t>
      </w:r>
      <w:hyperlink w:history="1" r:id="rId9kk3jre3pghnlerhhriw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20 декабря 2018 года № 600). В данной </w:t>
      </w:r>
      <w:hyperlink w:history="1" r:id="rIdsigwveoakrulco0kfpv6d">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основной фокус сделан на достижение устойчивого прогресса по повышению роли службы общественного здравоохранения с усилением профилактических мероприятий, усиление службы ПМСП, улучшению доступности и качества предоставления медицинской помощи в стационарах, внедрения электронных технологий в здравоохранение.</w:t>
      </w:r>
    </w:p>
    <w:p>
      <w:pPr>
        <w:spacing w:after="60"/>
        <w:ind w:firstLine="567"/>
        <w:jc w:val="both"/>
      </w:pPr>
      <w:r>
        <w:rPr>
          <w:rFonts w:ascii="Arial" w:cs="Arial" w:eastAsia="Arial" w:hAnsi="Arial"/>
          <w:sz w:val="24"/>
          <w:szCs w:val="24"/>
        </w:rPr>
        <w:t xml:space="preserve">Главные усилия в сфере здравоохранения будут направлены на решение следующих приоритетных задач:</w:t>
      </w:r>
    </w:p>
    <w:p>
      <w:pPr>
        <w:spacing w:after="60"/>
        <w:ind w:firstLine="567"/>
        <w:jc w:val="both"/>
      </w:pPr>
      <w:r>
        <w:rPr>
          <w:rFonts w:ascii="Arial" w:cs="Arial" w:eastAsia="Arial" w:hAnsi="Arial"/>
          <w:sz w:val="24"/>
          <w:szCs w:val="24"/>
        </w:rPr>
        <w:t xml:space="preserve">- укрепление первичных медико-санитарных услуг. Модернизация и оснащение центров семейной медицины на местах и повышение квалификации врачей и медсестер, в том числе с использованием дистанционных форм;</w:t>
      </w:r>
    </w:p>
    <w:p>
      <w:pPr>
        <w:spacing w:after="60"/>
        <w:ind w:firstLine="567"/>
        <w:jc w:val="both"/>
      </w:pPr>
      <w:r>
        <w:rPr>
          <w:rFonts w:ascii="Arial" w:cs="Arial" w:eastAsia="Arial" w:hAnsi="Arial"/>
          <w:sz w:val="24"/>
          <w:szCs w:val="24"/>
        </w:rPr>
        <w:t xml:space="preserve">- обновление и модернизация скорой медицинской помощи. Вопросы материально-технического обновления, повышения квалификации и привлечения лучших кадров;</w:t>
      </w:r>
    </w:p>
    <w:p>
      <w:pPr>
        <w:spacing w:after="60"/>
        <w:ind w:firstLine="567"/>
        <w:jc w:val="both"/>
      </w:pPr>
      <w:r>
        <w:rPr>
          <w:rFonts w:ascii="Arial" w:cs="Arial" w:eastAsia="Arial" w:hAnsi="Arial"/>
          <w:sz w:val="24"/>
          <w:szCs w:val="24"/>
        </w:rPr>
        <w:t xml:space="preserve">- усиление охраны материнства и детства, предупреждение преждевременной смертности и инвалидности от сосудисто-сердечных и онкологических заболеваний, борьбу с инфекционными заболеваниями;</w:t>
      </w:r>
    </w:p>
    <w:p>
      <w:pPr>
        <w:spacing w:after="60"/>
        <w:ind w:firstLine="567"/>
        <w:jc w:val="both"/>
      </w:pPr>
      <w:r>
        <w:rPr>
          <w:rFonts w:ascii="Arial" w:cs="Arial" w:eastAsia="Arial" w:hAnsi="Arial"/>
          <w:sz w:val="24"/>
          <w:szCs w:val="24"/>
        </w:rPr>
        <w:t xml:space="preserve">- модернизация службы общественного здравоохранения с расширением ее функции, усиление профилактики и санитарно-эпидемиологического надзора с вовлечением органов местной власти и других государственных органов;</w:t>
      </w:r>
    </w:p>
    <w:p>
      <w:pPr>
        <w:spacing w:after="60"/>
        <w:ind w:firstLine="567"/>
        <w:jc w:val="both"/>
      </w:pPr>
      <w:r>
        <w:rPr>
          <w:rFonts w:ascii="Arial" w:cs="Arial" w:eastAsia="Arial" w:hAnsi="Arial"/>
          <w:sz w:val="24"/>
          <w:szCs w:val="24"/>
        </w:rPr>
        <w:t xml:space="preserve">- создание единой цифровой национальной системы оценки и управления рисками для здоровья, которая позволит осуществлять регулярный анализ и оценку текущей эпидемиологической ситуации в стране. На ее основе появятся технологии моделирования и прогнозирования различных сценариев распространения заболеваний, эпидемий и выработки рекомендаций по их предупреждению, снижению негативных последствий;</w:t>
      </w:r>
    </w:p>
    <w:p>
      <w:pPr>
        <w:spacing w:after="60"/>
        <w:ind w:firstLine="567"/>
        <w:jc w:val="both"/>
      </w:pPr>
      <w:r>
        <w:rPr>
          <w:rFonts w:ascii="Arial" w:cs="Arial" w:eastAsia="Arial" w:hAnsi="Arial"/>
          <w:sz w:val="24"/>
          <w:szCs w:val="24"/>
        </w:rPr>
        <w:t xml:space="preserve">- развитие школьной медицины;</w:t>
      </w:r>
    </w:p>
    <w:p>
      <w:pPr>
        <w:spacing w:after="60"/>
        <w:ind w:firstLine="567"/>
        <w:jc w:val="both"/>
      </w:pPr>
      <w:r>
        <w:rPr>
          <w:rFonts w:ascii="Arial" w:cs="Arial" w:eastAsia="Arial" w:hAnsi="Arial"/>
          <w:sz w:val="24"/>
          <w:szCs w:val="24"/>
        </w:rPr>
        <w:t xml:space="preserve">- изменения принципов и механизмов финансирования системы здравоохранения, развитие обязательного медицинского страхования. Здесь предлагается два решения широкое привлечение бизнеса к оказанию услуг здравоохранения и переход к реальному механизму финансирования пациентов - "деньги следуют за пациентом". Каждый гражданин может использовать свои средства по выбору в любом лечебном заведении независимо от форм собственности;</w:t>
      </w:r>
    </w:p>
    <w:p>
      <w:pPr>
        <w:spacing w:after="60"/>
        <w:ind w:firstLine="567"/>
        <w:jc w:val="both"/>
      </w:pPr>
      <w:r>
        <w:rPr>
          <w:rFonts w:ascii="Arial" w:cs="Arial" w:eastAsia="Arial" w:hAnsi="Arial"/>
          <w:sz w:val="24"/>
          <w:szCs w:val="24"/>
        </w:rPr>
        <w:t xml:space="preserve">- переориентация Программы государственных гарантий на полный охват целевых, уязвимых групп населения медицинскими услугами;</w:t>
      </w:r>
    </w:p>
    <w:p>
      <w:pPr>
        <w:spacing w:after="60"/>
        <w:ind w:firstLine="567"/>
        <w:jc w:val="both"/>
      </w:pPr>
      <w:r>
        <w:rPr>
          <w:rFonts w:ascii="Arial" w:cs="Arial" w:eastAsia="Arial" w:hAnsi="Arial"/>
          <w:sz w:val="24"/>
          <w:szCs w:val="24"/>
        </w:rPr>
        <w:t xml:space="preserve">- в целях снижения зависимости страны от импортной фармацевтической продукции будут проработаны конкретные меры по производству отечественных лекарственных средств, в том числе через привлечение иностранного капитала;</w:t>
      </w:r>
    </w:p>
    <w:p>
      <w:pPr>
        <w:spacing w:after="60"/>
        <w:ind w:firstLine="567"/>
        <w:jc w:val="both"/>
      </w:pPr>
      <w:r>
        <w:rPr>
          <w:rFonts w:ascii="Arial" w:cs="Arial" w:eastAsia="Arial" w:hAnsi="Arial"/>
          <w:sz w:val="24"/>
          <w:szCs w:val="24"/>
        </w:rPr>
        <w:t xml:space="preserve">- совершенствование разработанной цифровой медицинской карты для внедрения в организациях здравоохранения;</w:t>
      </w:r>
    </w:p>
    <w:p>
      <w:pPr>
        <w:spacing w:after="60"/>
        <w:ind w:firstLine="567"/>
        <w:jc w:val="both"/>
      </w:pPr>
      <w:r>
        <w:rPr>
          <w:rFonts w:ascii="Arial" w:cs="Arial" w:eastAsia="Arial" w:hAnsi="Arial"/>
          <w:sz w:val="24"/>
          <w:szCs w:val="24"/>
        </w:rPr>
        <w:t xml:space="preserve">- обеспечение своевременного и полноценного финансирования организаций здравоохранения, работающих в системе Единого плательщика на 2024 г.</w:t>
      </w:r>
    </w:p>
    <w:p>
      <w:pPr>
        <w:spacing w:after="60"/>
        <w:ind w:firstLine="567"/>
        <w:jc w:val="both"/>
      </w:pPr>
      <w:r>
        <w:rPr>
          <w:rFonts w:ascii="Arial" w:cs="Arial" w:eastAsia="Arial" w:hAnsi="Arial"/>
          <w:sz w:val="24"/>
          <w:szCs w:val="24"/>
        </w:rPr>
        <w:t xml:space="preserve">Система образования будет развиваться в соответствии с </w:t>
      </w:r>
      <w:hyperlink w:history="1" r:id="rId004dcli6zywrtidioew9p">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развития образования в Кыргызской Республике на 2021-2040 гг. (</w:t>
      </w:r>
      <w:hyperlink w:history="1" r:id="rIdo-_zckopuwofldhcswju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ovl43wfktjkpgveft34x4">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образования в Кыргызской Республике на 2021-2040 годы" от 4 мая 2021 г. № 200).</w:t>
      </w:r>
    </w:p>
    <w:p>
      <w:pPr>
        <w:spacing w:after="60"/>
        <w:ind w:firstLine="567"/>
        <w:jc w:val="both"/>
      </w:pPr>
      <w:r>
        <w:rPr>
          <w:rFonts w:ascii="Arial" w:cs="Arial" w:eastAsia="Arial" w:hAnsi="Arial"/>
          <w:sz w:val="24"/>
          <w:szCs w:val="24"/>
        </w:rPr>
        <w:t xml:space="preserve">Основное внимание в сфере образования будет направлено на решение следующих задач:</w:t>
      </w:r>
    </w:p>
    <w:p>
      <w:pPr>
        <w:spacing w:after="60"/>
        <w:ind w:firstLine="567"/>
        <w:jc w:val="both"/>
      </w:pPr>
      <w:r>
        <w:rPr>
          <w:rFonts w:ascii="Arial" w:cs="Arial" w:eastAsia="Arial" w:hAnsi="Arial"/>
          <w:sz w:val="24"/>
          <w:szCs w:val="24"/>
        </w:rPr>
        <w:t xml:space="preserve">1) обеспечение справедливого, равного доступа:</w:t>
      </w:r>
    </w:p>
    <w:p>
      <w:pPr>
        <w:spacing w:after="60"/>
        <w:ind w:firstLine="567"/>
        <w:jc w:val="both"/>
      </w:pPr>
      <w:r>
        <w:rPr>
          <w:rFonts w:ascii="Arial" w:cs="Arial" w:eastAsia="Arial" w:hAnsi="Arial"/>
          <w:sz w:val="24"/>
          <w:szCs w:val="24"/>
        </w:rPr>
        <w:t xml:space="preserve">- охват образованием на всех уровнях системы образования;</w:t>
      </w:r>
    </w:p>
    <w:p>
      <w:pPr>
        <w:spacing w:after="60"/>
        <w:ind w:firstLine="567"/>
        <w:jc w:val="both"/>
      </w:pPr>
      <w:r>
        <w:rPr>
          <w:rFonts w:ascii="Arial" w:cs="Arial" w:eastAsia="Arial" w:hAnsi="Arial"/>
          <w:sz w:val="24"/>
          <w:szCs w:val="24"/>
        </w:rPr>
        <w:t xml:space="preserve">- обеспечение инклюзивности образования и его многоязычность;</w:t>
      </w:r>
    </w:p>
    <w:p>
      <w:pPr>
        <w:spacing w:after="60"/>
        <w:ind w:firstLine="567"/>
        <w:jc w:val="both"/>
      </w:pPr>
      <w:r>
        <w:rPr>
          <w:rFonts w:ascii="Arial" w:cs="Arial" w:eastAsia="Arial" w:hAnsi="Arial"/>
          <w:sz w:val="24"/>
          <w:szCs w:val="24"/>
        </w:rPr>
        <w:t xml:space="preserve">- безопасная и эффективная среда обучения;</w:t>
      </w:r>
    </w:p>
    <w:p>
      <w:pPr>
        <w:spacing w:after="60"/>
        <w:ind w:firstLine="567"/>
        <w:jc w:val="both"/>
      </w:pPr>
      <w:r>
        <w:rPr>
          <w:rFonts w:ascii="Arial" w:cs="Arial" w:eastAsia="Arial" w:hAnsi="Arial"/>
          <w:sz w:val="24"/>
          <w:szCs w:val="24"/>
        </w:rPr>
        <w:t xml:space="preserve">2) обеспечение качества:</w:t>
      </w:r>
    </w:p>
    <w:p>
      <w:pPr>
        <w:spacing w:after="60"/>
        <w:ind w:firstLine="567"/>
        <w:jc w:val="both"/>
      </w:pPr>
      <w:r>
        <w:rPr>
          <w:rFonts w:ascii="Arial" w:cs="Arial" w:eastAsia="Arial" w:hAnsi="Arial"/>
          <w:sz w:val="24"/>
          <w:szCs w:val="24"/>
        </w:rPr>
        <w:t xml:space="preserve">- модернизация содержания образования на всех его уровнях;</w:t>
      </w:r>
    </w:p>
    <w:p>
      <w:pPr>
        <w:spacing w:after="60"/>
        <w:ind w:firstLine="567"/>
        <w:jc w:val="both"/>
      </w:pPr>
      <w:r>
        <w:rPr>
          <w:rFonts w:ascii="Arial" w:cs="Arial" w:eastAsia="Arial" w:hAnsi="Arial"/>
          <w:sz w:val="24"/>
          <w:szCs w:val="24"/>
        </w:rPr>
        <w:t xml:space="preserve">- цифровизация образования;</w:t>
      </w:r>
    </w:p>
    <w:p>
      <w:pPr>
        <w:spacing w:after="60"/>
        <w:ind w:firstLine="567"/>
        <w:jc w:val="both"/>
      </w:pPr>
      <w:r>
        <w:rPr>
          <w:rFonts w:ascii="Arial" w:cs="Arial" w:eastAsia="Arial" w:hAnsi="Arial"/>
          <w:sz w:val="24"/>
          <w:szCs w:val="24"/>
        </w:rPr>
        <w:t xml:space="preserve">- система непрерывного профессионального развития педагогов;</w:t>
      </w:r>
    </w:p>
    <w:p>
      <w:pPr>
        <w:spacing w:after="60"/>
        <w:ind w:firstLine="567"/>
        <w:jc w:val="both"/>
      </w:pPr>
      <w:r>
        <w:rPr>
          <w:rFonts w:ascii="Arial" w:cs="Arial" w:eastAsia="Arial" w:hAnsi="Arial"/>
          <w:sz w:val="24"/>
          <w:szCs w:val="24"/>
        </w:rPr>
        <w:t xml:space="preserve">- эффективная и объективная система мониторинга и оценивания результатов обучения;</w:t>
      </w:r>
    </w:p>
    <w:p>
      <w:pPr>
        <w:spacing w:after="60"/>
        <w:ind w:firstLine="567"/>
        <w:jc w:val="both"/>
      </w:pPr>
      <w:r>
        <w:rPr>
          <w:rFonts w:ascii="Arial" w:cs="Arial" w:eastAsia="Arial" w:hAnsi="Arial"/>
          <w:sz w:val="24"/>
          <w:szCs w:val="24"/>
        </w:rPr>
        <w:t xml:space="preserve">- качественные учебные материалы,</w:t>
      </w:r>
    </w:p>
    <w:p>
      <w:pPr>
        <w:spacing w:after="60"/>
        <w:ind w:firstLine="567"/>
        <w:jc w:val="both"/>
      </w:pPr>
      <w:r>
        <w:rPr>
          <w:rFonts w:ascii="Arial" w:cs="Arial" w:eastAsia="Arial" w:hAnsi="Arial"/>
          <w:sz w:val="24"/>
          <w:szCs w:val="24"/>
        </w:rPr>
        <w:t xml:space="preserve">3) эффективное управление и финансирование:</w:t>
      </w:r>
    </w:p>
    <w:p>
      <w:pPr>
        <w:spacing w:after="60"/>
        <w:ind w:firstLine="567"/>
        <w:jc w:val="both"/>
      </w:pPr>
      <w:r>
        <w:rPr>
          <w:rFonts w:ascii="Arial" w:cs="Arial" w:eastAsia="Arial" w:hAnsi="Arial"/>
          <w:sz w:val="24"/>
          <w:szCs w:val="24"/>
        </w:rPr>
        <w:t xml:space="preserve">- улучшение управления человеческими ресурсами, организационным, техническим и административным потенциалом для обеспечения системного подхода к управлению сферой образования и планированию образовательной политики;</w:t>
      </w:r>
    </w:p>
    <w:p>
      <w:pPr>
        <w:spacing w:after="60"/>
        <w:ind w:firstLine="567"/>
        <w:jc w:val="both"/>
      </w:pPr>
      <w:r>
        <w:rPr>
          <w:rFonts w:ascii="Arial" w:cs="Arial" w:eastAsia="Arial" w:hAnsi="Arial"/>
          <w:sz w:val="24"/>
          <w:szCs w:val="24"/>
        </w:rPr>
        <w:t xml:space="preserve">- укрепление перехода к нормативному финансированию на всех уровнях образования и к большей самостоятельности в управлении ресурсами на уровне самих образовательных организаций;</w:t>
      </w:r>
    </w:p>
    <w:p>
      <w:pPr>
        <w:spacing w:after="60"/>
        <w:ind w:firstLine="567"/>
        <w:jc w:val="both"/>
      </w:pPr>
      <w:r>
        <w:rPr>
          <w:rFonts w:ascii="Arial" w:cs="Arial" w:eastAsia="Arial" w:hAnsi="Arial"/>
          <w:sz w:val="24"/>
          <w:szCs w:val="24"/>
        </w:rPr>
        <w:t xml:space="preserve">- аккредитация и лицензирование, осуществление необходимого контроля за образовательными услугами и их результатами;</w:t>
      </w:r>
    </w:p>
    <w:p>
      <w:pPr>
        <w:spacing w:after="60"/>
        <w:ind w:firstLine="567"/>
        <w:jc w:val="both"/>
      </w:pPr>
      <w:r>
        <w:rPr>
          <w:rFonts w:ascii="Arial" w:cs="Arial" w:eastAsia="Arial" w:hAnsi="Arial"/>
          <w:sz w:val="24"/>
          <w:szCs w:val="24"/>
        </w:rPr>
        <w:t xml:space="preserve">- регулярный мониторинг реализации и оценки результатов функционирования и результативности системы образования;</w:t>
      </w:r>
    </w:p>
    <w:p>
      <w:pPr>
        <w:spacing w:after="60"/>
        <w:ind w:firstLine="567"/>
        <w:jc w:val="both"/>
      </w:pPr>
      <w:r>
        <w:rPr>
          <w:rFonts w:ascii="Arial" w:cs="Arial" w:eastAsia="Arial" w:hAnsi="Arial"/>
          <w:sz w:val="24"/>
          <w:szCs w:val="24"/>
        </w:rPr>
        <w:t xml:space="preserve">- автоматизация системы управления образованием.</w:t>
      </w:r>
    </w:p>
    <w:p>
      <w:pPr>
        <w:spacing w:after="60"/>
        <w:ind w:firstLine="567"/>
        <w:jc w:val="both"/>
      </w:pPr>
      <w:r>
        <w:rPr>
          <w:rFonts w:ascii="Arial" w:cs="Arial" w:eastAsia="Arial" w:hAnsi="Arial"/>
          <w:sz w:val="24"/>
          <w:szCs w:val="24"/>
        </w:rPr>
        <w:t xml:space="preserve">Исходя из прогнозируемых макроэкономических параметров и реализации мер, определенных в программах и планах, социальные показатели в 2025 г. будут складываться следующим образом:</w:t>
      </w:r>
    </w:p>
    <w:p>
      <w:pPr>
        <w:spacing w:after="60"/>
        <w:ind w:firstLine="567"/>
        <w:jc w:val="both"/>
      </w:pPr>
      <w:r>
        <w:rPr>
          <w:rFonts w:ascii="Arial" w:cs="Arial" w:eastAsia="Arial" w:hAnsi="Arial"/>
          <w:sz w:val="24"/>
          <w:szCs w:val="24"/>
        </w:rPr>
        <w:t xml:space="preserve">- номинальный прирост денежных доходов населения прогнозируется на уровне 6,0%. В структуре денежных доходов прирост средней заработной платы прогнозируется на 6,6% и составит в 2025 г. 38336,9 сомов;</w:t>
      </w:r>
    </w:p>
    <w:p>
      <w:pPr>
        <w:spacing w:after="60"/>
        <w:ind w:firstLine="567"/>
        <w:jc w:val="both"/>
      </w:pPr>
      <w:r>
        <w:rPr>
          <w:rFonts w:ascii="Arial" w:cs="Arial" w:eastAsia="Arial" w:hAnsi="Arial"/>
          <w:sz w:val="24"/>
          <w:szCs w:val="24"/>
        </w:rPr>
        <w:t xml:space="preserve">- с учетом роста денежных доходов населения прирост объема ВВП надушу населения прогнозируется на уровне 12,3%;</w:t>
      </w:r>
    </w:p>
    <w:p>
      <w:pPr>
        <w:spacing w:after="60"/>
        <w:ind w:firstLine="567"/>
        <w:jc w:val="both"/>
      </w:pPr>
      <w:r>
        <w:rPr>
          <w:rFonts w:ascii="Arial" w:cs="Arial" w:eastAsia="Arial" w:hAnsi="Arial"/>
          <w:sz w:val="24"/>
          <w:szCs w:val="24"/>
        </w:rPr>
        <w:t xml:space="preserve">- размер прожиточного минимума (ПМ) увеличится с 7681,5 сомов в 2023 г. до 8639,1 сомов в 2025 г. Коэффициент отношения среднемесячной заработной платы к прожиточному минимуму для взрослого населения трудоспособного возраста сложится на уровне 4,0;</w:t>
      </w:r>
    </w:p>
    <w:p>
      <w:pPr>
        <w:spacing w:after="60"/>
        <w:ind w:firstLine="567"/>
        <w:jc w:val="both"/>
      </w:pPr>
      <w:r>
        <w:rPr>
          <w:rFonts w:ascii="Arial" w:cs="Arial" w:eastAsia="Arial" w:hAnsi="Arial"/>
          <w:sz w:val="24"/>
          <w:szCs w:val="24"/>
        </w:rPr>
        <w:t xml:space="preserve">- номинальный размер пенсии увеличится в 2025 г. на 5,0% по сравнению с ожидаемым показателем 2024 г. и составит 10584,3 сомов;</w:t>
      </w:r>
    </w:p>
    <w:p>
      <w:pPr>
        <w:spacing w:after="60"/>
        <w:ind w:firstLine="567"/>
        <w:jc w:val="both"/>
      </w:pPr>
      <w:r>
        <w:rPr>
          <w:rFonts w:ascii="Arial" w:cs="Arial" w:eastAsia="Arial" w:hAnsi="Arial"/>
          <w:sz w:val="24"/>
          <w:szCs w:val="24"/>
        </w:rPr>
        <w:t xml:space="preserve">- прогнозируемый уровень общей безработицы будет постепенно снижаться и в 2025 г. составит 4,4%. Уровень бедности на 2025 г. прогнозируется в размере 26,4% относительно фактически сложившегося уровня 33,2% в 2022 г.</w:t>
      </w:r>
    </w:p>
    <w:p>
      <w:pPr>
        <w:spacing w:after="200" w:before="200"/>
        <w:jc w:val="center"/>
      </w:pPr>
      <w:r>
        <w:rPr>
          <w:rFonts w:ascii="Arial" w:cs="Arial" w:eastAsia="Arial" w:hAnsi="Arial"/>
          <w:b/>
          <w:bCs/>
          <w:sz w:val="24"/>
          <w:szCs w:val="24"/>
        </w:rPr>
        <w:t xml:space="preserve">10. Макроэкономический прогноз на 2026-2029 гг.</w:t>
      </w:r>
    </w:p>
    <w:p>
      <w:pPr>
        <w:spacing w:after="60"/>
        <w:ind w:firstLine="567"/>
        <w:jc w:val="both"/>
      </w:pPr>
      <w:r>
        <w:rPr>
          <w:rFonts w:ascii="Arial" w:cs="Arial" w:eastAsia="Arial" w:hAnsi="Arial"/>
          <w:sz w:val="24"/>
          <w:szCs w:val="24"/>
        </w:rPr>
        <w:t xml:space="preserve">Экономическая политика на среднесрочный период нацелена на сохранение положительных тенденций экономического роста, упреждение ожидаемых проблем и обеспечение устойчивого экономического роста посредством создания среды для социально-экономического развития страны, направленная на улучшение благосостояния граждан.</w:t>
      </w:r>
    </w:p>
    <w:p>
      <w:pPr>
        <w:spacing w:after="60"/>
        <w:ind w:firstLine="567"/>
        <w:jc w:val="both"/>
      </w:pPr>
      <w:r>
        <w:rPr>
          <w:rFonts w:ascii="Arial" w:cs="Arial" w:eastAsia="Arial" w:hAnsi="Arial"/>
          <w:sz w:val="24"/>
          <w:szCs w:val="24"/>
        </w:rPr>
        <w:t xml:space="preserve">Основными приоритетами будут полная реализация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 создание благоприятного инвестиционного климата, проведение гибкой регуляторной политики в сфере предпринимательства, предсказуемость и стабильность законодательства, полномасштабная цифровизация экономики, повышение уровня жизни населения.</w:t>
      </w:r>
    </w:p>
    <w:p>
      <w:pPr>
        <w:spacing w:after="60"/>
        <w:ind w:firstLine="567"/>
        <w:jc w:val="both"/>
      </w:pPr>
      <w:r>
        <w:rPr>
          <w:rFonts w:ascii="Arial" w:cs="Arial" w:eastAsia="Arial" w:hAnsi="Arial"/>
          <w:sz w:val="24"/>
          <w:szCs w:val="24"/>
        </w:rPr>
        <w:t xml:space="preserve">Оценка прогнозных значений макроэкономических показателей на 2026-2029 гг. предусматривает полной, успешной и своевременной реализации мер и инвестиционных проектов, предусмотренных в программных документах, и их эффективном влиянии на экономику страны, экономические преобразования позволят обеспечить ежегодный темп прироста ВВП в среднем не менее 5,5%, достижение которых требует активных действий от органов исполнительной власти по</w:t>
      </w:r>
    </w:p>
    <w:p>
      <w:pPr>
        <w:spacing w:after="60"/>
        <w:ind w:firstLine="567"/>
        <w:jc w:val="both"/>
      </w:pPr>
      <w:r>
        <w:rPr>
          <w:rFonts w:ascii="Arial" w:cs="Arial" w:eastAsia="Arial" w:hAnsi="Arial"/>
          <w:sz w:val="24"/>
          <w:szCs w:val="24"/>
        </w:rPr>
        <w:t xml:space="preserve">В целом ожидается что на период 2026-2029 гг. уровень инфляции будет соответствовать целевому ориентиру и держаться на уровне однозначных показателей, при условии отсутствия шоков. В основу заложено продолжение проведения согласованной денежно-кредитной и бюджетно-налоговой политики, направленной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60"/>
        <w:ind w:firstLine="567"/>
        <w:jc w:val="both"/>
      </w:pPr>
      <w:r>
        <w:rPr>
          <w:rFonts w:ascii="Arial" w:cs="Arial" w:eastAsia="Arial" w:hAnsi="Arial"/>
          <w:sz w:val="24"/>
          <w:szCs w:val="24"/>
        </w:rPr>
        <w:t xml:space="preserve">На 2026-2029 гг. прогноз увеличения реальных темпов прироста сельского хозяйства в среднем на 3,2%, за счет принимаемых государством и частным сектором мер по увеличению урожайности растениеводства и продуктивности животноводства. Для достижения реальных темпов роста сельскохозяйственной отрасли будут реализованы намеченные мероприятия:</w:t>
      </w:r>
    </w:p>
    <w:p>
      <w:pPr>
        <w:spacing w:after="60"/>
        <w:ind w:firstLine="567"/>
        <w:jc w:val="both"/>
      </w:pPr>
      <w:r>
        <w:rPr>
          <w:rFonts w:ascii="Arial" w:cs="Arial" w:eastAsia="Arial" w:hAnsi="Arial"/>
          <w:sz w:val="24"/>
          <w:szCs w:val="24"/>
        </w:rPr>
        <w:t xml:space="preserve">- оптимизация посевных площадей путем систематического увеличения посевов видами тех культур, которые пользуются наибольшим спросом;</w:t>
      </w:r>
    </w:p>
    <w:p>
      <w:pPr>
        <w:spacing w:after="60"/>
        <w:ind w:firstLine="567"/>
        <w:jc w:val="both"/>
      </w:pPr>
      <w:r>
        <w:rPr>
          <w:rFonts w:ascii="Arial" w:cs="Arial" w:eastAsia="Arial" w:hAnsi="Arial"/>
          <w:sz w:val="24"/>
          <w:szCs w:val="24"/>
        </w:rPr>
        <w:t xml:space="preserve">- внедрение программ по повышению эффективности использования водных ресурсов и улучшению системы ирригации для обеспечения устойчивого сельскохозяйственного производства в условиях изменяющегося климата;</w:t>
      </w:r>
    </w:p>
    <w:p>
      <w:pPr>
        <w:spacing w:after="60"/>
        <w:ind w:firstLine="567"/>
        <w:jc w:val="both"/>
      </w:pPr>
      <w:r>
        <w:rPr>
          <w:rFonts w:ascii="Arial" w:cs="Arial" w:eastAsia="Arial" w:hAnsi="Arial"/>
          <w:sz w:val="24"/>
          <w:szCs w:val="24"/>
        </w:rPr>
        <w:t xml:space="preserve">- дальнейшее наращивание производства сахарной свеклы и масличных культур;</w:t>
      </w:r>
    </w:p>
    <w:p>
      <w:pPr>
        <w:spacing w:after="60"/>
        <w:ind w:firstLine="567"/>
        <w:jc w:val="both"/>
      </w:pPr>
      <w:r>
        <w:rPr>
          <w:rFonts w:ascii="Arial" w:cs="Arial" w:eastAsia="Arial" w:hAnsi="Arial"/>
          <w:sz w:val="24"/>
          <w:szCs w:val="24"/>
        </w:rPr>
        <w:t xml:space="preserve">- активное использование систем капельного орошения;</w:t>
      </w:r>
    </w:p>
    <w:p>
      <w:pPr>
        <w:spacing w:after="60"/>
        <w:ind w:firstLine="567"/>
        <w:jc w:val="both"/>
      </w:pPr>
      <w:r>
        <w:rPr>
          <w:rFonts w:ascii="Arial" w:cs="Arial" w:eastAsia="Arial" w:hAnsi="Arial"/>
          <w:sz w:val="24"/>
          <w:szCs w:val="24"/>
        </w:rPr>
        <w:t xml:space="preserve">- дальнейшее развитие тепличных хозяйств;</w:t>
      </w:r>
    </w:p>
    <w:p>
      <w:pPr>
        <w:spacing w:after="60"/>
        <w:ind w:firstLine="567"/>
        <w:jc w:val="both"/>
      </w:pPr>
      <w:r>
        <w:rPr>
          <w:rFonts w:ascii="Arial" w:cs="Arial" w:eastAsia="Arial" w:hAnsi="Arial"/>
          <w:sz w:val="24"/>
          <w:szCs w:val="24"/>
        </w:rPr>
        <w:t xml:space="preserve">- использование передовых технологий возделывания сельскохозяйственных культур, применение органических, минеральных и органоминеральных удобрений для увеличения объемов производства и увеличения экспортного потенциала сельскохозяйственной продукции;</w:t>
      </w:r>
    </w:p>
    <w:p>
      <w:pPr>
        <w:spacing w:after="60"/>
        <w:ind w:firstLine="567"/>
        <w:jc w:val="both"/>
      </w:pPr>
      <w:r>
        <w:rPr>
          <w:rFonts w:ascii="Arial" w:cs="Arial" w:eastAsia="Arial" w:hAnsi="Arial"/>
          <w:sz w:val="24"/>
          <w:szCs w:val="24"/>
        </w:rPr>
        <w:t xml:space="preserve">- обеспечение отрасли животноводства качественными кормами в достаточном объеме, за счет роста производства кормовых культур ожидается увеличение производительности скота;</w:t>
      </w:r>
    </w:p>
    <w:p>
      <w:pPr>
        <w:spacing w:after="60"/>
        <w:ind w:firstLine="567"/>
        <w:jc w:val="both"/>
      </w:pPr>
      <w:r>
        <w:rPr>
          <w:rFonts w:ascii="Arial" w:cs="Arial" w:eastAsia="Arial" w:hAnsi="Arial"/>
          <w:sz w:val="24"/>
          <w:szCs w:val="24"/>
        </w:rPr>
        <w:t xml:space="preserve">- сохранение благополучной эпизоотической ситуации в стране;</w:t>
      </w:r>
    </w:p>
    <w:p>
      <w:pPr>
        <w:spacing w:after="60"/>
        <w:ind w:firstLine="567"/>
        <w:jc w:val="both"/>
      </w:pPr>
      <w:r>
        <w:rPr>
          <w:rFonts w:ascii="Arial" w:cs="Arial" w:eastAsia="Arial" w:hAnsi="Arial"/>
          <w:sz w:val="24"/>
          <w:szCs w:val="24"/>
        </w:rPr>
        <w:t xml:space="preserve">- продолжение поддержки сельхозпроизводителей со стороны государства по действующим кредитным и лизинговым программам;</w:t>
      </w:r>
    </w:p>
    <w:p>
      <w:pPr>
        <w:spacing w:after="60"/>
        <w:ind w:firstLine="567"/>
        <w:jc w:val="both"/>
      </w:pPr>
      <w:r>
        <w:rPr>
          <w:rFonts w:ascii="Arial" w:cs="Arial" w:eastAsia="Arial" w:hAnsi="Arial"/>
          <w:sz w:val="24"/>
          <w:szCs w:val="24"/>
        </w:rPr>
        <w:t xml:space="preserve">- внедрение кластерных методов ведения хозяйства в агропромышленном комплексе, в том числе организация агрокластеров по переработке молока, мяса, растительного масла, сахара, производству рыбы, меда, картофеля, овощей;</w:t>
      </w:r>
    </w:p>
    <w:p>
      <w:pPr>
        <w:spacing w:after="60"/>
        <w:ind w:firstLine="567"/>
        <w:jc w:val="both"/>
      </w:pPr>
      <w:r>
        <w:rPr>
          <w:rFonts w:ascii="Arial" w:cs="Arial" w:eastAsia="Arial" w:hAnsi="Arial"/>
          <w:sz w:val="24"/>
          <w:szCs w:val="24"/>
        </w:rPr>
        <w:t xml:space="preserve">- разработка механизмов кооперации с отраслевой наукой и кластерными объединениями по улучшению доступа фермеров к инновациям и обеспечению внедрения современных технологий, в том числе ресурсосберегающих технологий в сельском хозяйстве;</w:t>
      </w:r>
    </w:p>
    <w:p>
      <w:pPr>
        <w:spacing w:after="60"/>
        <w:ind w:firstLine="567"/>
        <w:jc w:val="both"/>
      </w:pPr>
      <w:r>
        <w:rPr>
          <w:rFonts w:ascii="Arial" w:cs="Arial" w:eastAsia="Arial" w:hAnsi="Arial"/>
          <w:sz w:val="24"/>
          <w:szCs w:val="24"/>
        </w:rPr>
        <w:t xml:space="preserve">- преодоление мелкотоварного производства путем развития кооперации в сельском хозяйстве;</w:t>
      </w:r>
    </w:p>
    <w:p>
      <w:pPr>
        <w:spacing w:after="60"/>
        <w:ind w:firstLine="567"/>
        <w:jc w:val="both"/>
      </w:pPr>
      <w:r>
        <w:rPr>
          <w:rFonts w:ascii="Arial" w:cs="Arial" w:eastAsia="Arial" w:hAnsi="Arial"/>
          <w:sz w:val="24"/>
          <w:szCs w:val="24"/>
        </w:rPr>
        <w:t xml:space="preserve">- создание торгово-логистических центров для эффективной организации движения товаров в цепочке (кластере), которые будут способствовать устойчивому сбору/сбыту сельскохозяйственной продукции, ее хранению и внедрению для дальнейшей переработки;</w:t>
      </w:r>
    </w:p>
    <w:p>
      <w:pPr>
        <w:spacing w:after="60"/>
        <w:ind w:firstLine="567"/>
        <w:jc w:val="both"/>
      </w:pPr>
      <w:r>
        <w:rPr>
          <w:rFonts w:ascii="Arial" w:cs="Arial" w:eastAsia="Arial" w:hAnsi="Arial"/>
          <w:sz w:val="24"/>
          <w:szCs w:val="24"/>
        </w:rPr>
        <w:t xml:space="preserve">- обновление основных средств сельскохозяйственного производства, расширения инфраструктуры технических сервисных служб и модернизации машинно-тракторного парка сельскохозяйственных субъектов страны;</w:t>
      </w:r>
    </w:p>
    <w:p>
      <w:pPr>
        <w:spacing w:after="60"/>
        <w:ind w:firstLine="567"/>
        <w:jc w:val="both"/>
      </w:pPr>
      <w:r>
        <w:rPr>
          <w:rFonts w:ascii="Arial" w:cs="Arial" w:eastAsia="Arial" w:hAnsi="Arial"/>
          <w:sz w:val="24"/>
          <w:szCs w:val="24"/>
        </w:rPr>
        <w:t xml:space="preserve">- развитие программ по поддержке сельскохозяйственного экспорта и продвижению продукции на мировых рынках через активное участие в международных выставках, ярмарках и торговых миссиях;</w:t>
      </w:r>
    </w:p>
    <w:p>
      <w:pPr>
        <w:spacing w:after="60"/>
        <w:ind w:firstLine="567"/>
        <w:jc w:val="both"/>
      </w:pPr>
      <w:r>
        <w:rPr>
          <w:rFonts w:ascii="Arial" w:cs="Arial" w:eastAsia="Arial" w:hAnsi="Arial"/>
          <w:sz w:val="24"/>
          <w:szCs w:val="24"/>
        </w:rPr>
        <w:t xml:space="preserve">- повышение доступности образовательных программ и консультационной поддержки для сельскохозяйственных производителей, с целью повышения их профессиональных навыков и улучшения управления сельскохозяйственным бизнесом.</w:t>
      </w:r>
    </w:p>
    <w:p>
      <w:pPr>
        <w:spacing w:after="60"/>
        <w:ind w:firstLine="567"/>
        <w:jc w:val="both"/>
      </w:pPr>
      <w:r>
        <w:rPr>
          <w:rFonts w:ascii="Arial" w:cs="Arial" w:eastAsia="Arial" w:hAnsi="Arial"/>
          <w:sz w:val="24"/>
          <w:szCs w:val="24"/>
        </w:rPr>
        <w:t xml:space="preserve">Прирост промышленного производства в 2026-2029 гг. прогнозируется в среднем в г. на уровне 103% за счет:</w:t>
      </w:r>
    </w:p>
    <w:p>
      <w:pPr>
        <w:spacing w:after="60"/>
        <w:ind w:firstLine="567"/>
        <w:jc w:val="both"/>
      </w:pPr>
      <w:r>
        <w:rPr>
          <w:rFonts w:ascii="Arial" w:cs="Arial" w:eastAsia="Arial" w:hAnsi="Arial"/>
          <w:sz w:val="24"/>
          <w:szCs w:val="24"/>
        </w:rPr>
        <w:t xml:space="preserve">- обеспечения стабильной работы предприятий по разработке месторождений Кумтор, Талды-Булак Левобережный, Джеруй, Караказык, Иштамберди, Жамгыр, Макмал, Терексай, Солтон-Сары. На месторождении Джеруй планируется ввод в эксплуатацию подземного рудника, который позволит увеличить производство основного металла и перерабатывающих мощностей. При этом на месторождении Кумтор прогнозируется снижение производства основного металла в 2026 г. на 19,6% по сравнению с прогнозируемым показателем 2025 г. которое обусловлено увеличением вскрышных работ на участке центральном, и как следствие уменьшением добычи руды, а также истощением кондиционных руд на складах рудника при переработке в предыдущие годы. Для восполнения некоторого снижаемого объема будут проводиться работы с 2026 г. по извлечению золота от вторичной переработки хвостохранилища. Кроме того на предприятии в целях улучшения производственной деятельности проводится ряд мероприятий по извлечению золотосодержащих руд экономически выгодным способом, в том числе постепенный переход от открытой добычи руды карьерным способом к запуску проекта подземной разработки;</w:t>
      </w:r>
    </w:p>
    <w:p>
      <w:pPr>
        <w:spacing w:after="60"/>
        <w:ind w:firstLine="567"/>
        <w:jc w:val="both"/>
      </w:pPr>
      <w:r>
        <w:rPr>
          <w:rFonts w:ascii="Arial" w:cs="Arial" w:eastAsia="Arial" w:hAnsi="Arial"/>
          <w:sz w:val="24"/>
          <w:szCs w:val="24"/>
        </w:rPr>
        <w:t xml:space="preserve">- прогнозируется наращивание объемов производства пищевых продуктов (включая напитки) на 6% в среднем в год;</w:t>
      </w:r>
    </w:p>
    <w:p>
      <w:pPr>
        <w:spacing w:after="60"/>
        <w:ind w:firstLine="567"/>
        <w:jc w:val="both"/>
      </w:pPr>
      <w:r>
        <w:rPr>
          <w:rFonts w:ascii="Arial" w:cs="Arial" w:eastAsia="Arial" w:hAnsi="Arial"/>
          <w:sz w:val="24"/>
          <w:szCs w:val="24"/>
        </w:rPr>
        <w:t xml:space="preserve">- увеличения объемов текстильного и швейного производства в среднем на 6,8% за счет реализации крупных проектов по производству текстильного полотна, пряжи на базе промышленного парка ОсОО "Кыргыз Текстиль ЛДТ" и строительство текстильного производства "Global Textile Group";</w:t>
      </w:r>
    </w:p>
    <w:p>
      <w:pPr>
        <w:spacing w:after="60"/>
        <w:ind w:firstLine="567"/>
        <w:jc w:val="both"/>
      </w:pPr>
      <w:r>
        <w:rPr>
          <w:rFonts w:ascii="Arial" w:cs="Arial" w:eastAsia="Arial" w:hAnsi="Arial"/>
          <w:sz w:val="24"/>
          <w:szCs w:val="24"/>
        </w:rPr>
        <w:t xml:space="preserve">- рост объемов производства нефтепродуктов в среднем на 6,5% за счет восстановления объемов производства на НПЗ ОсОО "Чайна Петроль Компани "Джунда" в Чуйской области и ЗАО "Кыргыз Петролеум Компани" в Джалал-Абадской области. В настоящее время проводится работа по модернизации технологий ЗАО "Кыргыз Петролеум Компани", внедрения вторичных процессов переработки нефти, с получением продукций, отвечающих требованиям К4 и К5 Регламента ТС;</w:t>
      </w:r>
    </w:p>
    <w:p>
      <w:pPr>
        <w:spacing w:after="60"/>
        <w:ind w:firstLine="567"/>
        <w:jc w:val="both"/>
      </w:pPr>
      <w:r>
        <w:rPr>
          <w:rFonts w:ascii="Arial" w:cs="Arial" w:eastAsia="Arial" w:hAnsi="Arial"/>
          <w:sz w:val="24"/>
          <w:szCs w:val="24"/>
        </w:rPr>
        <w:t xml:space="preserve">- прирост производства строительных материалов в среднем на уровне 4,5% за счет устойчивой производственной деятельности предприятий по производству стройматериалов;</w:t>
      </w:r>
    </w:p>
    <w:p>
      <w:pPr>
        <w:spacing w:after="60"/>
        <w:ind w:firstLine="567"/>
        <w:jc w:val="both"/>
      </w:pPr>
      <w:r>
        <w:rPr>
          <w:rFonts w:ascii="Arial" w:cs="Arial" w:eastAsia="Arial" w:hAnsi="Arial"/>
          <w:sz w:val="24"/>
          <w:szCs w:val="24"/>
        </w:rPr>
        <w:t xml:space="preserve">- прогнозируется рост производства транспортных средств за счет развития предприятий автомобильной отрасли;</w:t>
      </w:r>
    </w:p>
    <w:p>
      <w:pPr>
        <w:spacing w:after="60"/>
        <w:ind w:firstLine="567"/>
        <w:jc w:val="both"/>
      </w:pPr>
      <w:r>
        <w:rPr>
          <w:rFonts w:ascii="Arial" w:cs="Arial" w:eastAsia="Arial" w:hAnsi="Arial"/>
          <w:sz w:val="24"/>
          <w:szCs w:val="24"/>
        </w:rPr>
        <w:t xml:space="preserve">- рост объемов обеспечения (снабжение) электроэнергией, газом, паром и кондиционированным воздухом прогнозируется в среднем на 4,7% за счет увеличения генерирующих мощностей посредством реабилитации Токтогульской ГЭС, Камбар-Ата 2, Уч-Курганской ГЭС и Ат-Башинской ГЭС. С 2026 г. планируется экспорт электроэнергии за счет завершения проекта CASA-1000 по созданию рынка электроэнергии между Центральной и Южной Азией и строительства линии электропередачи 500 кВт.ч. "Датка-Ходжент".</w:t>
      </w:r>
    </w:p>
    <w:p>
      <w:pPr>
        <w:spacing w:after="60"/>
        <w:ind w:firstLine="567"/>
        <w:jc w:val="both"/>
      </w:pPr>
      <w:r>
        <w:rPr>
          <w:rFonts w:ascii="Arial" w:cs="Arial" w:eastAsia="Arial" w:hAnsi="Arial"/>
          <w:sz w:val="24"/>
          <w:szCs w:val="24"/>
        </w:rPr>
        <w:t xml:space="preserve">В 2026-2029 гг. приоритетными направлениями развития строительной отрасли будут:</w:t>
      </w:r>
    </w:p>
    <w:p>
      <w:pPr>
        <w:spacing w:after="60"/>
        <w:ind w:firstLine="567"/>
        <w:jc w:val="both"/>
      </w:pPr>
      <w:r>
        <w:rPr>
          <w:rFonts w:ascii="Arial" w:cs="Arial" w:eastAsia="Arial" w:hAnsi="Arial"/>
          <w:sz w:val="24"/>
          <w:szCs w:val="24"/>
        </w:rPr>
        <w:t xml:space="preserve">- строительство ирригационной инфраструктуры для обеспечения новыми орошаемыми землями сельских жителей, а также модернизация и реабилитация существующей ирригационной инфраструктуры;</w:t>
      </w:r>
    </w:p>
    <w:p>
      <w:pPr>
        <w:spacing w:after="60"/>
        <w:ind w:firstLine="567"/>
        <w:jc w:val="both"/>
      </w:pPr>
      <w:r>
        <w:rPr>
          <w:rFonts w:ascii="Arial" w:cs="Arial" w:eastAsia="Arial" w:hAnsi="Arial"/>
          <w:sz w:val="24"/>
          <w:szCs w:val="24"/>
        </w:rPr>
        <w:t xml:space="preserve">- строительство доступного социального жилья для уязвимых слоев населения;</w:t>
      </w:r>
    </w:p>
    <w:p>
      <w:pPr>
        <w:spacing w:after="60"/>
        <w:ind w:firstLine="567"/>
        <w:jc w:val="both"/>
      </w:pPr>
      <w:r>
        <w:rPr>
          <w:rFonts w:ascii="Arial" w:cs="Arial" w:eastAsia="Arial" w:hAnsi="Arial"/>
          <w:sz w:val="24"/>
          <w:szCs w:val="24"/>
        </w:rPr>
        <w:t xml:space="preserve">- увеличение объемов жилищного строительства, объектов социального и промышленного назначения, переход на новые архитектурно-строительные системы, типы зданий и современные технологии;</w:t>
      </w:r>
    </w:p>
    <w:p>
      <w:pPr>
        <w:spacing w:after="60"/>
        <w:ind w:firstLine="567"/>
        <w:jc w:val="both"/>
      </w:pPr>
      <w:r>
        <w:rPr>
          <w:rFonts w:ascii="Arial" w:cs="Arial" w:eastAsia="Arial" w:hAnsi="Arial"/>
          <w:sz w:val="24"/>
          <w:szCs w:val="24"/>
        </w:rPr>
        <w:t xml:space="preserve">- реабилитация и сохранение автомобильных дорог, создание либеральных, безопасных международных транспортных коридоров, в том числе применение новых технологий в проектировании и строительстве дорог;</w:t>
      </w:r>
    </w:p>
    <w:p>
      <w:pPr>
        <w:spacing w:after="60"/>
        <w:ind w:firstLine="567"/>
        <w:jc w:val="both"/>
      </w:pPr>
      <w:r>
        <w:rPr>
          <w:rFonts w:ascii="Arial" w:cs="Arial" w:eastAsia="Arial" w:hAnsi="Arial"/>
          <w:sz w:val="24"/>
          <w:szCs w:val="24"/>
        </w:rPr>
        <w:t xml:space="preserve">- широкое применение механизмов государственно-частного партнерства в строительной отрасли;</w:t>
      </w:r>
    </w:p>
    <w:p>
      <w:pPr>
        <w:spacing w:after="60"/>
        <w:ind w:firstLine="567"/>
        <w:jc w:val="both"/>
      </w:pPr>
      <w:r>
        <w:rPr>
          <w:rFonts w:ascii="Arial" w:cs="Arial" w:eastAsia="Arial" w:hAnsi="Arial"/>
          <w:sz w:val="24"/>
          <w:szCs w:val="24"/>
        </w:rPr>
        <w:t xml:space="preserve">- привлечение инвестиций на строительство следующих проектов: строительство ГЭС "Камбар-Ата-1", строительство железной дороги "Китай - Кыргызстан - Узбекистан" по участку на территории Кыргызской Республики по комбинированному варианту маршрута "Торугарт - Арпа - Макмал - Джалал-Абад" и другие объекты.</w:t>
      </w:r>
    </w:p>
    <w:p>
      <w:pPr>
        <w:spacing w:after="60"/>
        <w:ind w:firstLine="567"/>
        <w:jc w:val="both"/>
      </w:pPr>
      <w:r>
        <w:rPr>
          <w:rFonts w:ascii="Arial" w:cs="Arial" w:eastAsia="Arial" w:hAnsi="Arial"/>
          <w:sz w:val="24"/>
          <w:szCs w:val="24"/>
        </w:rPr>
        <w:t xml:space="preserve">Общий объем капитальных вложений из всех источников финансирования в 2026-2029 гг. возрастет в среднем на 12,5% (от 308,8 млрд. сомов в 2026 г. до 487,4 млрд. сомов в 2029 г.). Структура капитальных вложений относительно прогнозируемой в 2025 г. изменится в сторону увеличения доли внутренних инвестиций до 81,6% общего объема капитальных вложений в 2029 г. и, соответственно, снижения доли внешних инвестиций до 18,4%, по причине снижения доли иностранных кредитов в стране.</w:t>
      </w:r>
    </w:p>
    <w:p>
      <w:pPr>
        <w:spacing w:after="60"/>
        <w:ind w:firstLine="567"/>
        <w:jc w:val="both"/>
      </w:pPr>
      <w:r>
        <w:rPr>
          <w:rFonts w:ascii="Arial" w:cs="Arial" w:eastAsia="Arial" w:hAnsi="Arial"/>
          <w:sz w:val="24"/>
          <w:szCs w:val="24"/>
        </w:rPr>
        <w:t xml:space="preserve">В строительной отрасли прогнозируется темп реального прироста в среднем за г. на 10,2%.</w:t>
      </w:r>
    </w:p>
    <w:p>
      <w:pPr>
        <w:spacing w:after="60"/>
        <w:ind w:firstLine="567"/>
        <w:jc w:val="both"/>
      </w:pPr>
      <w:r>
        <w:rPr>
          <w:rFonts w:ascii="Arial" w:cs="Arial" w:eastAsia="Arial" w:hAnsi="Arial"/>
          <w:sz w:val="24"/>
          <w:szCs w:val="24"/>
        </w:rPr>
        <w:t xml:space="preserve">Внешнеэкономическая деятельность будет сосредоточена на продвижении товаров, произведенных в Кыргызской Республике на мировой рынок. Важным инструментом при этом будет участие в различных региональных и межрегиональных соглашениях по свободной торговле и инвестициям. Будет уделено значительное внимание активизации работы зарубежных представительств с использованием инструментов экономической дипломатии для продвижения торгово-экономических интересов страны.</w:t>
      </w:r>
    </w:p>
    <w:p>
      <w:pPr>
        <w:spacing w:after="60"/>
        <w:ind w:firstLine="567"/>
        <w:jc w:val="both"/>
      </w:pPr>
      <w:r>
        <w:rPr>
          <w:rFonts w:ascii="Arial" w:cs="Arial" w:eastAsia="Arial" w:hAnsi="Arial"/>
          <w:sz w:val="24"/>
          <w:szCs w:val="24"/>
        </w:rPr>
        <w:t xml:space="preserve">Для создания благоприятных условий экспорта, Кыргызстан будет более активно использовать свое членство в Всемирной торговой организации (ВТО), чтобы найти альтернативных торговых партнеров с устойчивой платежной системой. Внешнеэкономическая деятельность будет сосредоточена на максимальном использовании дополнительных торговых преференций, предоставляемых Всеобщей системой преференций, а также на обеспечении предсказуемости доступа на внешние рынки и устранении торговой дискриминации.</w:t>
      </w:r>
    </w:p>
    <w:p>
      <w:pPr>
        <w:spacing w:after="60"/>
        <w:ind w:firstLine="567"/>
        <w:jc w:val="both"/>
      </w:pPr>
      <w:r>
        <w:rPr>
          <w:rFonts w:ascii="Arial" w:cs="Arial" w:eastAsia="Arial" w:hAnsi="Arial"/>
          <w:sz w:val="24"/>
          <w:szCs w:val="24"/>
        </w:rPr>
        <w:t xml:space="preserve">Особое внимание будет уделено также созданию международной правовой базы для защиты интересов отечественных товаропроизводителей. Это может включать в себя заключение и соблюдение двусторонних и многосторонних торговых соглашений, а также активное участие в разработке и согласовании международных правил и норм, касающихся торговли. Другим важным аспектом будет решение вопроса обеспечения беспрепятственного транзита.</w:t>
      </w:r>
    </w:p>
    <w:p>
      <w:pPr>
        <w:spacing w:after="60"/>
        <w:ind w:firstLine="567"/>
        <w:jc w:val="both"/>
      </w:pPr>
      <w:r>
        <w:rPr>
          <w:rFonts w:ascii="Arial" w:cs="Arial" w:eastAsia="Arial" w:hAnsi="Arial"/>
          <w:sz w:val="24"/>
          <w:szCs w:val="24"/>
        </w:rPr>
        <w:t xml:space="preserve">В период 2026-2029 гг. рост внешнеторгового оборота прогнозируется в среднем на 5,5% ежегодно и в 2029 г. достигнет размера 22353 млн. долл. США. Номинальный рост объема экспорта товаров в 2026-2029 гг. прогнозируется в среднем на 2,0%, а импорта на 6,3%.</w:t>
      </w:r>
    </w:p>
    <w:p>
      <w:pPr>
        <w:spacing w:after="60"/>
        <w:ind w:firstLine="567"/>
        <w:jc w:val="both"/>
      </w:pPr>
      <w:r>
        <w:rPr>
          <w:rFonts w:ascii="Arial" w:cs="Arial" w:eastAsia="Arial" w:hAnsi="Arial"/>
          <w:sz w:val="24"/>
          <w:szCs w:val="24"/>
        </w:rPr>
        <w:t xml:space="preserve">Политика социального развития в 2026-2029 гг. также будет сконцентрирована на выполнении в полном объеме гарантированных социальных обязательств государства, повышении уровня жизни населения и улучшении положения социально незащищенных категорий граждан, с учетом реальных возможностей государства.</w:t>
      </w:r>
    </w:p>
    <w:p>
      <w:pPr>
        <w:spacing w:after="60"/>
        <w:ind w:firstLine="567"/>
        <w:jc w:val="both"/>
      </w:pPr>
      <w:r>
        <w:rPr>
          <w:rFonts w:ascii="Arial" w:cs="Arial" w:eastAsia="Arial" w:hAnsi="Arial"/>
          <w:sz w:val="24"/>
          <w:szCs w:val="24"/>
        </w:rPr>
        <w:t xml:space="preserve">В сфере социальной защиты населения, в среднесрочной перспективе, будет продолжена работа по оказанию адресной социальной помощи наиболее уязвимым категориям граждан, стимулированию экономической активности трудоспособного населения и оказанию содействия в выходе из трудной жизненной ситуации.</w:t>
      </w:r>
    </w:p>
    <w:p>
      <w:pPr>
        <w:spacing w:after="60"/>
        <w:ind w:firstLine="567"/>
        <w:jc w:val="both"/>
      </w:pPr>
      <w:r>
        <w:rPr>
          <w:rFonts w:ascii="Arial" w:cs="Arial" w:eastAsia="Arial" w:hAnsi="Arial"/>
          <w:sz w:val="24"/>
          <w:szCs w:val="24"/>
        </w:rPr>
        <w:t xml:space="preserve">Будут реализованы меры по обеспечению финансовой устойчивости пенсионной системы и повышению пенсий путем совершенствования системы государственного социального страхования, которая будет направлена на реформирование пенсионного обеспечения для дальнейшего улучшения страховых принципов в пенсионной системе и модернизацию страховой составляющей пенсионной системы с учетом потребностей различных возрастных групп пенсионеров.</w:t>
      </w:r>
    </w:p>
    <w:p>
      <w:pPr>
        <w:spacing w:after="60"/>
        <w:ind w:firstLine="567"/>
        <w:jc w:val="both"/>
      </w:pPr>
      <w:r>
        <w:rPr>
          <w:rFonts w:ascii="Arial" w:cs="Arial" w:eastAsia="Arial" w:hAnsi="Arial"/>
          <w:sz w:val="24"/>
          <w:szCs w:val="24"/>
        </w:rPr>
        <w:t xml:space="preserve">Исходя из прогнозируемых макроэкономических параметров, социальные показатели в 2026-2029 гг. будут складываться следующим образом:</w:t>
      </w:r>
    </w:p>
    <w:p>
      <w:pPr>
        <w:spacing w:after="60"/>
        <w:ind w:firstLine="567"/>
        <w:jc w:val="both"/>
      </w:pPr>
      <w:r>
        <w:rPr>
          <w:rFonts w:ascii="Arial" w:cs="Arial" w:eastAsia="Arial" w:hAnsi="Arial"/>
          <w:sz w:val="24"/>
          <w:szCs w:val="24"/>
        </w:rPr>
        <w:t xml:space="preserve">- номинальный прирост денежных доходов населения в 2026-2029 гг. прогнозируется в среднем на уровне 5,7%. В структуре денежных доходов прирост заработной платы составит в среднем 6,2%.</w:t>
      </w:r>
    </w:p>
    <w:p>
      <w:pPr>
        <w:spacing w:after="60"/>
        <w:ind w:firstLine="567"/>
        <w:jc w:val="both"/>
      </w:pPr>
      <w:r>
        <w:rPr>
          <w:rFonts w:ascii="Arial" w:cs="Arial" w:eastAsia="Arial" w:hAnsi="Arial"/>
          <w:sz w:val="24"/>
          <w:szCs w:val="24"/>
        </w:rPr>
        <w:t xml:space="preserve">- прирост объема ВВП на душу населения в среднем в 2026-2029 гг. оценивается на уровне 9,8%.</w:t>
      </w:r>
    </w:p>
    <w:p>
      <w:pPr>
        <w:spacing w:after="60"/>
        <w:ind w:firstLine="567"/>
        <w:jc w:val="both"/>
      </w:pPr>
      <w:r>
        <w:rPr>
          <w:rFonts w:ascii="Arial" w:cs="Arial" w:eastAsia="Arial" w:hAnsi="Arial"/>
          <w:sz w:val="24"/>
          <w:szCs w:val="24"/>
        </w:rPr>
        <w:t xml:space="preserve">- прогнозируется увеличение размера прожиточного минимума с 8639,1 сома в 2025 г. до 10570,9 сома к 2029 г. Коэффициент отношения среднемесячной заработной платы к прожиточному минимуму для взрослого населения трудоспособного возраста ожидается на уровне 4,6 к 2029 г.</w:t>
      </w:r>
    </w:p>
    <w:p>
      <w:pPr>
        <w:spacing w:after="60"/>
        <w:ind w:firstLine="567"/>
        <w:jc w:val="both"/>
      </w:pPr>
      <w:r>
        <w:rPr>
          <w:rFonts w:ascii="Arial" w:cs="Arial" w:eastAsia="Arial" w:hAnsi="Arial"/>
          <w:sz w:val="24"/>
          <w:szCs w:val="24"/>
        </w:rPr>
        <w:t xml:space="preserve">- прогнозируется повышение номинального размера пенсии на 2029 г. до 12865,3 сомов и увеличится относительно 2025 г. на 21,5%. Уровень бедности к 2029 г. снизится до 24,5%.</w:t>
      </w:r>
    </w:p>
    <w:p>
      <w:pPr>
        <w:spacing w:after="200" w:before="200"/>
        <w:jc w:val="center"/>
      </w:pPr>
      <w:r>
        <w:rPr>
          <w:rFonts w:ascii="Arial" w:cs="Arial" w:eastAsia="Arial" w:hAnsi="Arial"/>
          <w:b/>
          <w:bCs/>
          <w:sz w:val="24"/>
          <w:szCs w:val="24"/>
        </w:rPr>
        <w:t xml:space="preserve">Заключение</w:t>
      </w:r>
    </w:p>
    <w:p>
      <w:pPr>
        <w:spacing w:after="60"/>
        <w:ind w:firstLine="567"/>
        <w:jc w:val="both"/>
      </w:pPr>
      <w:r>
        <w:rPr>
          <w:rFonts w:ascii="Arial" w:cs="Arial" w:eastAsia="Arial" w:hAnsi="Arial"/>
          <w:sz w:val="24"/>
          <w:szCs w:val="24"/>
        </w:rPr>
        <w:t xml:space="preserve">В среднесрочной перспективе на 2025-2029 гг. экономический рост прогнозируется в среднем на 5,6% в год.</w:t>
      </w:r>
    </w:p>
    <w:p>
      <w:pPr>
        <w:spacing w:after="60"/>
        <w:ind w:firstLine="567"/>
        <w:jc w:val="both"/>
      </w:pPr>
      <w:r>
        <w:rPr>
          <w:rFonts w:ascii="Arial" w:cs="Arial" w:eastAsia="Arial" w:hAnsi="Arial"/>
          <w:sz w:val="24"/>
          <w:szCs w:val="24"/>
        </w:rPr>
        <w:t xml:space="preserve">Среднесрочные целевые макроэкономические показатели будут достигаться через реализацию инвестиционных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60"/>
        <w:ind w:firstLine="567"/>
        <w:jc w:val="both"/>
      </w:pPr>
      <w:r>
        <w:rPr>
          <w:rFonts w:ascii="Arial" w:cs="Arial" w:eastAsia="Arial" w:hAnsi="Arial"/>
          <w:sz w:val="24"/>
          <w:szCs w:val="24"/>
        </w:rPr>
        <w:t xml:space="preserve">Кабинетом Министров Кыргызской Республики, при необходимости, будет разработана система мер, направленная на смягчение возможного шокового воздействия на экономику негативных процессов и дисбалансов/рисков, связанных с ухудшением мировой конъюнктуры.</w:t>
      </w:r>
    </w:p>
    <w:p>
      <w:pPr>
        <w:spacing w:after="60"/>
        <w:ind w:firstLine="567"/>
        <w:jc w:val="both"/>
      </w:pPr>
      <w:r>
        <w:rPr>
          <w:rFonts w:ascii="Arial" w:cs="Arial" w:eastAsia="Arial" w:hAnsi="Arial"/>
          <w:sz w:val="24"/>
          <w:szCs w:val="24"/>
        </w:rPr>
        <w:t xml:space="preserve">Важными условиями выполнения прогнозируемых целевых показателей на среднесрочный период являются сохранение политической стабильности, поступление в сектор экономики прогнозируемых объемов инвестиций, а также принятие мер для минимизации влияющих на экономику внешних и внутренних шоков.</w:t>
      </w:r>
    </w:p>
    <w:p>
      <w:pPr>
        <w:spacing w:after="60"/>
        <w:ind w:firstLine="567"/>
        <w:jc w:val="both"/>
      </w:pPr>
      <w:r>
        <w:rPr>
          <w:rFonts w:ascii="Arial" w:cs="Arial" w:eastAsia="Arial" w:hAnsi="Arial"/>
          <w:sz w:val="24"/>
          <w:szCs w:val="24"/>
        </w:rPr>
        <w:t xml:space="preserve">При этом следует отметить, что с учетом фактически сложившейся ситуации в экономике, появления новых факторов, направленных на снижение/рост ожидаемых показателей социально-экономического развития в 2024 г., прогнозируемые макроэкономические показатели на 2025-2029 гг. будут скорректированы.</w:t>
      </w:r>
    </w:p>
    <w:p>
      <w:pPr>
        <w:spacing w:after="60"/>
        <w:ind w:firstLine="567"/>
        <w:jc w:val="both"/>
      </w:pPr>
      <w:r>
        <w:rPr>
          <w:rFonts w:ascii="Arial" w:cs="Arial" w:eastAsia="Arial" w:hAnsi="Arial"/>
          <w:sz w:val="24"/>
          <w:szCs w:val="24"/>
        </w:rPr>
        <w:t xml:space="preserve">Перечень показателей прогноза социально-экономического развития Кыргызской Республики определен в приложениях </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14</w:t>
      </w:r>
      <w:r>
        <w:rPr>
          <w:rFonts w:ascii="Arial" w:cs="Arial" w:eastAsia="Arial" w:hAnsi="Arial"/>
          <w:sz w:val="24"/>
          <w:szCs w:val="24"/>
        </w:rPr>
        <w:t xml:space="preserve"> к настоящему Среднесрочному прогнозу социально-экономического развития.</w:t>
      </w:r>
    </w:p>
    <w:p>
      <w:pPr>
        <w:spacing w:after="60" w:before="120"/>
        <w:ind w:firstLine="567"/>
        <w:jc w:val="both"/>
      </w:pPr>
      <w:r>
        <w:rPr>
          <w:rFonts w:ascii="Arial" w:cs="Arial" w:eastAsia="Arial" w:hAnsi="Arial"/>
          <w:sz w:val="24"/>
          <w:szCs w:val="24"/>
        </w:rPr>
        <w:t xml:space="preserve">(1) Темпы прироста приведены по ВДС.</w:t>
      </w:r>
    </w:p>
    <w:p>
      <w:pPr>
        <w:spacing w:after="60"/>
        <w:ind w:firstLine="567"/>
        <w:jc w:val="both"/>
      </w:pPr>
      <w:r>
        <w:rPr>
          <w:rFonts w:ascii="Arial" w:cs="Arial" w:eastAsia="Arial" w:hAnsi="Arial"/>
          <w:sz w:val="24"/>
          <w:szCs w:val="24"/>
        </w:rPr>
        <w:t xml:space="preserve">(2) Темпы прироста приведены по ВДС.</w:t>
      </w:r>
    </w:p>
    <w:p>
      <w:pPr>
        <w:spacing w:after="60"/>
        <w:ind w:firstLine="567"/>
        <w:jc w:val="both"/>
      </w:pPr>
      <w:r>
        <w:rPr>
          <w:rFonts w:ascii="Arial" w:cs="Arial" w:eastAsia="Arial" w:hAnsi="Arial"/>
          <w:sz w:val="24"/>
          <w:szCs w:val="24"/>
        </w:rPr>
        <w:t xml:space="preserve">(3) Бет учета стоимости переработанного давальческого сырья.</w:t>
      </w:r>
    </w:p>
    <w:p>
      <w:pPr>
        <w:spacing w:after="60"/>
        <w:ind w:firstLine="567"/>
        <w:jc w:val="both"/>
      </w:pPr>
      <w:r>
        <w:rPr>
          <w:rFonts w:ascii="Arial" w:cs="Arial" w:eastAsia="Arial" w:hAnsi="Arial"/>
          <w:sz w:val="24"/>
          <w:szCs w:val="24"/>
        </w:rPr>
        <w:t xml:space="preserve">(4) Бет учета стоимости давальческого сырья.</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к Прогнозу социально-экономического развития Кыргызской Республики на 2025-2029 годы</w:t>
      </w:r>
    </w:p>
    <w:p>
      <w:pPr>
        <w:spacing w:after="200" w:before="200"/>
        <w:jc w:val="center"/>
      </w:pPr>
      <w:r>
        <w:rPr>
          <w:rFonts w:ascii="Arial" w:cs="Arial" w:eastAsia="Arial" w:hAnsi="Arial"/>
          <w:b/>
          <w:bCs/>
          <w:sz w:val="32"/>
          <w:szCs w:val="32"/>
        </w:rPr>
        <w:t xml:space="preserve">Основные социально-экономические показатели развития Кыргызской Республики на 2025-2029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32"/>
        <w:gridCol w:w="1195"/>
        <w:gridCol w:w="900"/>
        <w:gridCol w:w="792"/>
        <w:gridCol w:w="792"/>
        <w:gridCol w:w="792"/>
        <w:gridCol w:w="792"/>
        <w:gridCol w:w="792"/>
        <w:gridCol w:w="792"/>
      </w:tblGrid>
      <w:tr>
        <w:tc>
          <w:tcPr>
            <w:tcW w:type="dxa" w:w="333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9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c>
          <w:tcPr>
            <w:tcW w:type="dxa" w:w="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2028 год</w:t>
            </w:r>
          </w:p>
        </w:tc>
        <w:tc>
          <w:tcPr>
            <w:tcW w:type="dxa" w:w="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Производство ВВП</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Номинальный ВВП</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1228898,8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1414726,7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1624087,2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1813785,2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2053420,4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2296183,1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2562898,0</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r>
              <w:rPr>
                <w:rFonts w:ascii="Arial" w:cs="Arial" w:eastAsia="Arial" w:hAnsi="Arial"/>
                <w:sz w:val="24"/>
                <w:szCs w:val="24"/>
              </w:rPr>
              <w:t xml:space="preserve">,</w:t>
            </w:r>
            <w:r>
              <w:rPr>
                <w:rFonts w:ascii="Arial" w:cs="Arial" w:eastAsia="Arial" w:hAnsi="Arial"/>
                <w:sz w:val="24"/>
                <w:szCs w:val="24"/>
              </w:rPr>
              <w:t xml:space="preserve">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r>
              <w:rPr>
                <w:rFonts w:ascii="Arial" w:cs="Arial" w:eastAsia="Arial" w:hAnsi="Arial"/>
                <w:sz w:val="24"/>
                <w:szCs w:val="24"/>
              </w:rPr>
              <w:t xml:space="preserve">,</w:t>
            </w:r>
            <w:r>
              <w:rPr>
                <w:rFonts w:ascii="Arial" w:cs="Arial" w:eastAsia="Arial" w:hAnsi="Arial"/>
                <w:sz w:val="24"/>
                <w:szCs w:val="24"/>
              </w:rPr>
              <w:t xml:space="preserve">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r>
              <w:rPr>
                <w:rFonts w:ascii="Arial" w:cs="Arial" w:eastAsia="Arial" w:hAnsi="Arial"/>
                <w:sz w:val="24"/>
                <w:szCs w:val="24"/>
              </w:rPr>
              <w:t xml:space="preserve">,</w:t>
            </w:r>
            <w:r>
              <w:rPr>
                <w:rFonts w:ascii="Arial" w:cs="Arial" w:eastAsia="Arial" w:hAnsi="Arial"/>
                <w:sz w:val="24"/>
                <w:szCs w:val="24"/>
              </w:rPr>
              <w:t xml:space="preserve">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r>
              <w:rPr>
                <w:rFonts w:ascii="Arial" w:cs="Arial" w:eastAsia="Arial" w:hAnsi="Arial"/>
                <w:sz w:val="24"/>
                <w:szCs w:val="24"/>
              </w:rPr>
              <w:t xml:space="preserve">,</w:t>
            </w:r>
            <w:r>
              <w:rPr>
                <w:rFonts w:ascii="Arial" w:cs="Arial" w:eastAsia="Arial" w:hAnsi="Arial"/>
                <w:sz w:val="24"/>
                <w:szCs w:val="24"/>
              </w:rPr>
              <w:t xml:space="preserve">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r>
              <w:rPr>
                <w:rFonts w:ascii="Arial" w:cs="Arial" w:eastAsia="Arial" w:hAnsi="Arial"/>
                <w:sz w:val="24"/>
                <w:szCs w:val="24"/>
              </w:rPr>
              <w:t xml:space="preserve">,</w:t>
            </w:r>
            <w:r>
              <w:rPr>
                <w:rFonts w:ascii="Arial" w:cs="Arial" w:eastAsia="Arial" w:hAnsi="Arial"/>
                <w:sz w:val="24"/>
                <w:szCs w:val="24"/>
              </w:rPr>
              <w:t xml:space="preserve">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Добавленная стоимость</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196417,8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213447,9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237723,4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241340,4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267964</w:t>
            </w:r>
            <w:r>
              <w:rPr>
                <w:rFonts w:ascii="Arial" w:cs="Arial" w:eastAsia="Arial" w:hAnsi="Arial"/>
                <w:sz w:val="24"/>
                <w:szCs w:val="24"/>
              </w:rPr>
              <w:t xml:space="preserve">,</w:t>
            </w:r>
            <w:r>
              <w:rPr>
                <w:rFonts w:ascii="Arial" w:cs="Arial" w:eastAsia="Arial" w:hAnsi="Arial"/>
                <w:sz w:val="24"/>
                <w:szCs w:val="24"/>
              </w:rPr>
              <w:t xml:space="preserve">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286222,1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303655,3</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118646,5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127206,8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137163,7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146888,9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158215</w:t>
            </w:r>
            <w:r>
              <w:rPr>
                <w:rFonts w:ascii="Arial" w:cs="Arial" w:eastAsia="Arial" w:hAnsi="Arial"/>
                <w:sz w:val="24"/>
                <w:szCs w:val="24"/>
              </w:rPr>
              <w:t xml:space="preserve">,</w:t>
            </w:r>
            <w:r>
              <w:rPr>
                <w:rFonts w:ascii="Arial" w:cs="Arial" w:eastAsia="Arial" w:hAnsi="Arial"/>
                <w:sz w:val="24"/>
                <w:szCs w:val="24"/>
              </w:rPr>
              <w:t xml:space="preserve">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168353,6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177935,5</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r>
              <w:rPr>
                <w:rFonts w:ascii="Arial" w:cs="Arial" w:eastAsia="Arial" w:hAnsi="Arial"/>
                <w:sz w:val="24"/>
                <w:szCs w:val="24"/>
              </w:rPr>
              <w:t xml:space="preserve">,</w:t>
            </w:r>
            <w:r>
              <w:rPr>
                <w:rFonts w:ascii="Arial" w:cs="Arial" w:eastAsia="Arial" w:hAnsi="Arial"/>
                <w:sz w:val="24"/>
                <w:szCs w:val="24"/>
              </w:rPr>
              <w:t xml:space="preserve">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81748,6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99690,6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114906,9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130899,1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149304,3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168955,8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191270,2</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624165,4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714556,4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826039,9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938385,6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1072735,3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1216818,4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1383197,8</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207920,5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259824,9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308253,3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356271,2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405201,6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455833,2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506839,2</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Справка:</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золота</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1143992,5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1334209,9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1536018,6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1736452,3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1966777,6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2206198,3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2468634,8</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предприятий по разработке месторождения Кумтор</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1152928,3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1343125,3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1545449,6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1750524,7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1979004,4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2220449,6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2486149,2</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r>
              <w:rPr>
                <w:rFonts w:ascii="Arial" w:cs="Arial" w:eastAsia="Arial" w:hAnsi="Arial"/>
                <w:sz w:val="24"/>
                <w:szCs w:val="24"/>
              </w:rPr>
              <w:t xml:space="preserve">(1)</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 Использование ВВП</w:t>
            </w:r>
            <w:r>
              <w:rPr>
                <w:rFonts w:ascii="Arial" w:cs="Arial" w:eastAsia="Arial" w:hAnsi="Arial"/>
                <w:b/>
                <w:bCs/>
                <w:sz w:val="24"/>
                <w:szCs w:val="24"/>
              </w:rPr>
              <w:t xml:space="preserve">(</w:t>
            </w:r>
            <w:r>
              <w:rPr>
                <w:rFonts w:ascii="Arial" w:cs="Arial" w:eastAsia="Arial" w:hAnsi="Arial"/>
                <w:b/>
                <w:bCs/>
                <w:sz w:val="24"/>
                <w:szCs w:val="24"/>
              </w:rPr>
              <w:t xml:space="preserve">1</w:t>
            </w:r>
            <w:r>
              <w:rPr>
                <w:rFonts w:ascii="Arial" w:cs="Arial" w:eastAsia="Arial" w:hAnsi="Arial"/>
                <w:b/>
                <w:bCs/>
                <w:sz w:val="24"/>
                <w:szCs w:val="24"/>
              </w:rPr>
              <w:t xml:space="preserve">)</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Конечное потребление</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1301548,8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1446825,5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1653208,9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1841434,6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2050507,6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2280533,5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2531368,3</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 потребление</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1100859,2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1225700,0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1403243,8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1549080,4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1718910,7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1912770,4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2123494,3</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w:t>
            </w:r>
            <w:r>
              <w:rPr>
                <w:rFonts w:ascii="Arial" w:cs="Arial" w:eastAsia="Arial" w:hAnsi="Arial"/>
                <w:sz w:val="24"/>
                <w:szCs w:val="24"/>
              </w:rPr>
              <w:t xml:space="preserve">,</w:t>
            </w:r>
            <w:r>
              <w:rPr>
                <w:rFonts w:ascii="Arial" w:cs="Arial" w:eastAsia="Arial" w:hAnsi="Arial"/>
                <w:sz w:val="24"/>
                <w:szCs w:val="24"/>
              </w:rPr>
              <w:t xml:space="preserve">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потребление</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200689,6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221125,5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249965,1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292354,2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331596,9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367763,2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407874,0</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инвестиции(2)</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420468,5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1546876,5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624893,0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689981,3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766997,8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849922,5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941812,6</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41665,5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52260,5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52837,2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53604,1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54235,8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56452,8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57825,2</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проекты государственных инвестиций</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39582,2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50384,8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48771,1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30098,5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25762,0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22345,9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20345,9</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378803,0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494616,0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572055,7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636377,2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712762,0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793469,7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883987,4</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-493118,6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-578975,3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-654014,7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-717630,7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-764084,9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-834272,9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-910282,9</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741474,6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958956,2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1080378,2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1267685,6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1472790,8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1660004,6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1871016,0</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1234593,1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1537931,5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1734393,0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1985316,3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2236875,7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2494277,5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2781298,9</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 Социальные показатели</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348,1</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долл. США</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1969,2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2357,8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2616,7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2801,3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3047,5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3272,5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3548,1</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бедности(3)</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населения(3)</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725354,4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781227,1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827937,0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885249,0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939917,0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986360,6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1034159,8</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7681,5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8127,1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8639,1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9122,9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9588,1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10057,9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10570,9</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трудоспособного возраста</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8579,3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9076,9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9648,7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10189,0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10708,7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11233,4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11806,3</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пенсионного возраста</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6816,5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7211,8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7666,2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8095,5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8508,3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8925,3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9380,4</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6487,2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6629,9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6775,8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6924,8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7070,3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7218,7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7363,1</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33258,0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35966,8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38336,9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40876,4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43585,2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46056,9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48765,7</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для трудоспособного населения</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413,0</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Среднемесячный размер пенсий(4)</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9190,0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10080,3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10584,3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11113,5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11669,2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12252,7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12865,3</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пенсионера</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137,2</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декабрю предыдущего года</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соответствующему периоду предыдущего года</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IV. Трудовые ресурсы(5)</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экономически активного населения</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2744,8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2768,7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2795,7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2831,0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2874,0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2913,5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2956,4</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2617,1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2640,4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2672,5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2706,9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2751,0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2790,6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2838,7</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отраслям:</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387,5</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500,2</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359,9</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1461,7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1474,6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1493,9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1513,7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1539,2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1563,3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1591,1</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(общая)</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117,8</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общей безработицы</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труда(5)</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bl>
    <w:p>
      <w:pPr>
        <w:spacing w:after="60" w:before="120"/>
        <w:ind w:firstLine="567"/>
        <w:jc w:val="both"/>
      </w:pPr>
      <w:r>
        <w:rPr>
          <w:rFonts w:ascii="Arial" w:cs="Arial" w:eastAsia="Arial" w:hAnsi="Arial"/>
          <w:sz w:val="24"/>
          <w:szCs w:val="24"/>
        </w:rPr>
        <w:t xml:space="preserve">(1) Оценка Министерства экономики и коммерции Кыргызской Республики за 2023 год.</w:t>
      </w:r>
    </w:p>
    <w:p>
      <w:pPr>
        <w:spacing w:after="60"/>
        <w:ind w:firstLine="567"/>
        <w:jc w:val="both"/>
      </w:pPr>
      <w:r>
        <w:rPr>
          <w:rFonts w:ascii="Arial" w:cs="Arial" w:eastAsia="Arial" w:hAnsi="Arial"/>
          <w:sz w:val="24"/>
          <w:szCs w:val="24"/>
        </w:rPr>
        <w:t xml:space="preserve">(2) По методике Международного валютного фонда.</w:t>
      </w:r>
    </w:p>
    <w:p>
      <w:pPr>
        <w:spacing w:after="60"/>
        <w:ind w:firstLine="567"/>
        <w:jc w:val="both"/>
      </w:pPr>
      <w:r>
        <w:rPr>
          <w:rFonts w:ascii="Arial" w:cs="Arial" w:eastAsia="Arial" w:hAnsi="Arial"/>
          <w:sz w:val="24"/>
          <w:szCs w:val="24"/>
        </w:rPr>
        <w:t xml:space="preserve">(3) Оценка Министерства экономики и коммерции Кыргызской Республики за 2023 год.</w:t>
      </w:r>
    </w:p>
    <w:p>
      <w:pPr>
        <w:spacing w:after="60"/>
        <w:ind w:firstLine="567"/>
        <w:jc w:val="both"/>
      </w:pPr>
      <w:r>
        <w:rPr>
          <w:rFonts w:ascii="Arial" w:cs="Arial" w:eastAsia="Arial" w:hAnsi="Arial"/>
          <w:sz w:val="24"/>
          <w:szCs w:val="24"/>
        </w:rPr>
        <w:t xml:space="preserve">(4) Данные Социального фонда Кыргызской Республики при Кабинете Министров Кыргызской Республики (предварительные).</w:t>
      </w:r>
    </w:p>
    <w:p>
      <w:pPr>
        <w:spacing w:after="60"/>
        <w:ind w:firstLine="567"/>
        <w:jc w:val="both"/>
      </w:pPr>
      <w:r>
        <w:rPr>
          <w:rFonts w:ascii="Arial" w:cs="Arial" w:eastAsia="Arial" w:hAnsi="Arial"/>
          <w:sz w:val="24"/>
          <w:szCs w:val="24"/>
        </w:rPr>
        <w:t xml:space="preserve">(5) Оценка Министерства экономики и коммерции Кыргызской Республики за 2023 год.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к Прогнозу социально-экономического развития Кыргызской Республики на 2025-2029 годы</w:t>
      </w:r>
    </w:p>
    <w:p>
      <w:pPr>
        <w:spacing w:after="200" w:before="200"/>
        <w:jc w:val="center"/>
      </w:pPr>
      <w:r>
        <w:rPr>
          <w:rFonts w:ascii="Arial" w:cs="Arial" w:eastAsia="Arial" w:hAnsi="Arial"/>
          <w:b/>
          <w:bCs/>
          <w:sz w:val="32"/>
          <w:szCs w:val="32"/>
        </w:rPr>
        <w:t xml:space="preserve">Структура производства и конечного использования ВВП Кыргызской Республики на 2025-2029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69"/>
        <w:gridCol w:w="971"/>
        <w:gridCol w:w="698"/>
        <w:gridCol w:w="708"/>
        <w:gridCol w:w="708"/>
        <w:gridCol w:w="708"/>
        <w:gridCol w:w="708"/>
        <w:gridCol w:w="706"/>
      </w:tblGrid>
      <w:tr>
        <w:tc>
          <w:tcPr>
            <w:tcW w:type="dxa" w:w="496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7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7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7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c>
          <w:tcPr>
            <w:tcW w:type="dxa" w:w="7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2028 год</w:t>
            </w:r>
          </w:p>
        </w:tc>
        <w:tc>
          <w:tcPr>
            <w:tcW w:type="dxa" w:w="7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2029 год</w:t>
            </w:r>
          </w:p>
        </w:tc>
      </w:tr>
      <w:tr>
        <w:tc>
          <w:tcPr>
            <w:vMerge w:val="continue"/>
            <w:tcBorders>
              <w:top w:val="single" w:color="CBBF9E" w:sz="4"/>
              <w:left w:val="single" w:color="CBBF9E" w:sz="4"/>
              <w:bottom w:val="single" w:color="CBBF9E" w:sz="4"/>
              <w:right w:val="single" w:color="CBBF9E" w:sz="4"/>
            </w:tcBorders>
          </w:tcP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6"/>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Национальные счета (% от ВВП)</w:t>
            </w:r>
          </w:p>
        </w:tc>
      </w:tr>
      <w:tr>
        <w:tc>
          <w:tcPr>
            <w:tcW w:type="dxa" w:w="10176"/>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Производство ВВП</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золота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r>
      <w:tr>
        <w:tc>
          <w:tcPr>
            <w:tcW w:type="dxa" w:w="10176"/>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 Использование ВВП(1)</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89,6</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86,6</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83,3</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82,9</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проекты государственных инвестиций</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69,9</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71,7</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72,3</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w:t>
            </w:r>
          </w:p>
        </w:tc>
      </w:tr>
      <w:tr>
        <w:tc>
          <w:tcPr>
            <w:tcW w:type="dxa" w:w="4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методике Международного валютного фонда</w:t>
            </w:r>
          </w:p>
        </w:tc>
      </w:tr>
    </w:tbl>
    <w:p>
      <w:pPr>
        <w:spacing w:after="60" w:before="120"/>
        <w:ind w:firstLine="567"/>
        <w:jc w:val="both"/>
      </w:pPr>
      <w:r>
        <w:rPr>
          <w:rFonts w:ascii="Arial" w:cs="Arial" w:eastAsia="Arial" w:hAnsi="Arial"/>
          <w:sz w:val="24"/>
          <w:szCs w:val="24"/>
        </w:rPr>
        <w:t xml:space="preserve">(1) Оценка Министерства экономики и коммерции Кыргызской Республики за 2023 год, на 2024-2029 годы.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r>
        <w:rPr>
          <w:rFonts w:ascii="Arial" w:cs="Arial" w:eastAsia="Arial" w:hAnsi="Arial"/>
          <w:sz w:val="24"/>
          <w:szCs w:val="24"/>
        </w:rPr>
        <w:t xml:space="preserve">к Прогнозу социально-экономического развития Кыргызской Республики на 2025-2029 годы</w:t>
      </w:r>
    </w:p>
    <w:p>
      <w:pPr>
        <w:spacing w:after="200" w:before="200"/>
        <w:jc w:val="center"/>
      </w:pPr>
      <w:r>
        <w:rPr>
          <w:rFonts w:ascii="Arial" w:cs="Arial" w:eastAsia="Arial" w:hAnsi="Arial"/>
          <w:b/>
          <w:bCs/>
          <w:sz w:val="32"/>
          <w:szCs w:val="32"/>
        </w:rPr>
        <w:t xml:space="preserve">Валовая продукция и темпы роста в отраслях Кыргызской Республики, формирующих ВВП на 2025-2029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19"/>
        <w:gridCol w:w="908"/>
        <w:gridCol w:w="792"/>
        <w:gridCol w:w="792"/>
        <w:gridCol w:w="792"/>
        <w:gridCol w:w="792"/>
        <w:gridCol w:w="792"/>
        <w:gridCol w:w="792"/>
      </w:tblGrid>
      <w:tr>
        <w:tc>
          <w:tcPr>
            <w:tcW w:type="dxa" w:w="451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c>
          <w:tcPr>
            <w:tcW w:type="dxa" w:w="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2028 год</w:t>
            </w:r>
          </w:p>
        </w:tc>
        <w:tc>
          <w:tcPr>
            <w:tcW w:type="dxa" w:w="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2029 год</w:t>
            </w:r>
          </w:p>
        </w:tc>
      </w:tr>
      <w:tr>
        <w:tc>
          <w:tcPr>
            <w:vMerge w:val="continue"/>
            <w:tcBorders>
              <w:top w:val="single" w:color="CBBF9E" w:sz="4"/>
              <w:left w:val="single" w:color="CBBF9E" w:sz="4"/>
              <w:bottom w:val="single" w:color="CBBF9E" w:sz="4"/>
              <w:right w:val="single" w:color="CBBF9E" w:sz="4"/>
            </w:tcBorders>
          </w:tcP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 хозяйство, лесное хозяйство и рыболовство,</w:t>
            </w:r>
            <w:r>
              <w:rPr>
                <w:rFonts w:ascii="Arial" w:cs="Arial" w:eastAsia="Arial" w:hAnsi="Arial"/>
                <w:sz w:val="24"/>
                <w:szCs w:val="24"/>
              </w:rPr>
              <w:t xml:space="preserve"> млн. сомов</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378699,3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406022,5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437803,0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468844,1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504995,4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537355,9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567939,8</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w:t>
            </w:r>
            <w:r>
              <w:rPr>
                <w:rFonts w:ascii="Arial" w:cs="Arial" w:eastAsia="Arial" w:hAnsi="Arial"/>
                <w:sz w:val="24"/>
                <w:szCs w:val="24"/>
              </w:rPr>
              <w:t xml:space="preserve">(1), млн. сомов</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492127,8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551106,5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614247,4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624028,2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693315,3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740994,6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786595,3</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w:t>
            </w:r>
            <w:r>
              <w:rPr>
                <w:rFonts w:ascii="Arial" w:cs="Arial" w:eastAsia="Arial" w:hAnsi="Arial"/>
                <w:sz w:val="24"/>
                <w:szCs w:val="24"/>
              </w:rPr>
              <w:t xml:space="preserve">(2), млн. сомов</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482801,5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524256,4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584497,5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593723,2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659769,4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704998,9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747310,3</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 млн. сомов</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56117,6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63197,8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72126,0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79485,6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88022,9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91326,9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87137,1</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 млн. сомов</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372348,5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400299,3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443540,1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437779,3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486302,7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518092,9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556166,3</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1104,4</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 млн. сомов</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49745,5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55590,8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63131,7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70378,0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78786,4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88480,0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96415,8</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1105,4</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 млн. сомов</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4589,9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5168,5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5699,8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6080,4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6657,3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7099,1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17591,1</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Справка:</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золота, млн. сомов</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273913,5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316774,3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357105,0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393651,5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435166,3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471274,1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501989,6</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301461,7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345257,5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387518,6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434945,7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472621,9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514163,8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553535,2</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 млн. сомов</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197986,5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241440,2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278292,4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317023,7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361599,3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409193,1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463236,2</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 млн. сомов</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1005060,1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1153831,1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1337547,1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1523732,4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1746769,5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1986957,5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2264982,3</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351715,1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415397,2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501461,4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589236,2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703406,3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824813,9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965431,2</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 млн. сомов</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80470,3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94713,5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111719,2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127166,8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145593,3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165131,9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188176,1</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43310,5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56217,0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70496,2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86061,7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103170,8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122477,9</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146074,5</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 млн. сомов</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43048,6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45448,6</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48684,5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52303,2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56136,0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60248,5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64662,3</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bl>
    <w:p>
      <w:pPr>
        <w:spacing w:after="60" w:before="120"/>
        <w:ind w:firstLine="567"/>
        <w:jc w:val="both"/>
      </w:pPr>
      <w:r>
        <w:rPr>
          <w:rFonts w:ascii="Arial" w:cs="Arial" w:eastAsia="Arial" w:hAnsi="Arial"/>
          <w:sz w:val="24"/>
          <w:szCs w:val="24"/>
        </w:rPr>
        <w:t xml:space="preserve">(1) С учетом стоимости переработки давальческого сырья, без учета покупной электроэнергии.</w:t>
      </w:r>
    </w:p>
    <w:p>
      <w:pPr>
        <w:spacing w:after="60"/>
        <w:ind w:firstLine="567"/>
        <w:jc w:val="both"/>
      </w:pPr>
      <w:r>
        <w:rPr>
          <w:rFonts w:ascii="Arial" w:cs="Arial" w:eastAsia="Arial" w:hAnsi="Arial"/>
          <w:sz w:val="24"/>
          <w:szCs w:val="24"/>
        </w:rPr>
        <w:t xml:space="preserve">(2) Без учета стоимости переработки давальческого сырья, но с учетом покупной электроэнергии.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w:t>
      </w:r>
      <w:r>
        <w:rPr>
          <w:rFonts w:ascii="Arial" w:cs="Arial" w:eastAsia="Arial" w:hAnsi="Arial"/>
          <w:sz w:val="24"/>
          <w:szCs w:val="24"/>
        </w:rPr>
        <w:t xml:space="preserve">к Прогнозу социально-экономического развития Кыргызской Республики на 2025-2029 годы</w:t>
      </w:r>
    </w:p>
    <w:p>
      <w:pPr>
        <w:spacing w:after="200" w:before="200"/>
        <w:jc w:val="center"/>
      </w:pPr>
      <w:r>
        <w:rPr>
          <w:rFonts w:ascii="Arial" w:cs="Arial" w:eastAsia="Arial" w:hAnsi="Arial"/>
          <w:b/>
          <w:bCs/>
          <w:sz w:val="32"/>
          <w:szCs w:val="32"/>
        </w:rPr>
        <w:t xml:space="preserve">Прогноз развития сельского хозяйства, лесного хозяйства и рыболовства Кыргызской Республики на 2025-2029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22"/>
        <w:gridCol w:w="1049"/>
        <w:gridCol w:w="751"/>
        <w:gridCol w:w="751"/>
        <w:gridCol w:w="751"/>
        <w:gridCol w:w="751"/>
        <w:gridCol w:w="751"/>
        <w:gridCol w:w="751"/>
      </w:tblGrid>
      <w:tr>
        <w:tc>
          <w:tcPr>
            <w:tcW w:type="dxa" w:w="462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7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7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7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7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c>
          <w:tcPr>
            <w:tcW w:type="dxa" w:w="7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2028 год</w:t>
            </w:r>
          </w:p>
        </w:tc>
        <w:tc>
          <w:tcPr>
            <w:tcW w:type="dxa" w:w="7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2029 год</w:t>
            </w:r>
          </w:p>
        </w:tc>
      </w:tr>
      <w:tr>
        <w:tc>
          <w:tcPr>
            <w:vMerge w:val="continue"/>
            <w:tcBorders>
              <w:top w:val="single" w:color="CBBF9E" w:sz="4"/>
              <w:left w:val="single" w:color="CBBF9E" w:sz="4"/>
              <w:bottom w:val="single" w:color="CBBF9E" w:sz="4"/>
              <w:right w:val="single" w:color="CBBF9E" w:sz="4"/>
            </w:tcBorders>
          </w:tcP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 хозяйство, лесное хозяйство и рыболовство,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378699,3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406022,5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437803,0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468844,1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504995,4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537355,9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567939,8</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Растениеводство,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182815,6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199755,9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219736,3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237120,3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258247,0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273805,6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285737,6</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Зерновые культуры (в весе после доработки),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46022,3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56155,0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59494,5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63468,2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69152,6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75750,8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80967,6</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(в весе после доработки), тыс. тонн</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1742,9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2042,0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2076,2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2123,5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2218,4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2313,0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2380,0</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 (фабричная),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3534,6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4466,7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5044,5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6066,5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6747,3</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855,0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1071,0</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 (в зачетном весе),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4051,1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3805,6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4580,1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5709,0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6703,2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7523,2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8280,0</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(в зачетном весе),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187,9</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1286,2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1498,6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1775,5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2213,7</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32387,9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31953,8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34322,6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36788,7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39968,5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43026,3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45990,6</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1286,8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1251,3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1287,2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1309,8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1320,8</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42091,5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39436,7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43952,0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46819,8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50015,7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53308,3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56528,3</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1216,6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1194,5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1198,3</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Бахчи продовольственные,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4440,9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4748,8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5336,0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5805,0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6372,0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6915,6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7443,9</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275,7</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Плоды и ягоды,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21324,7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22187,6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23427,5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25121,3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27290,5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30095,4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33414,1</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336,8</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Виноград,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671,7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746,4</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растениеводство</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27486,0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35163,1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41498,5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45570,0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50051,6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47963,0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43217,7</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Животноводство,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181319,1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191562,0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203150,3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216549,2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231257,3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247690,8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265908,8</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Мясо (жив. вес),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109940,2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115483,6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122033,0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129685,2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138217,2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147729,5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158239,6</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Мясо (жив. вес), тыс. тонн</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512,6</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59826,4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63770,0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68042,5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72751,8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77856,2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83500,6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89699,2</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тыс. т</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1777,6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1822,0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1869,3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1921,6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1977,3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2036,6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2099,7</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6558,2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7076,0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7455,2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7897,1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8407,6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8993,2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9661,2</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шт.</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782,1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840,1</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396,8</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тыс. т</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животноводство</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4769,5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5374,0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5904,0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6431,0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7912,0</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Услуги</w:t>
            </w:r>
            <w:r>
              <w:rPr>
                <w:rFonts w:ascii="Arial" w:cs="Arial" w:eastAsia="Arial" w:hAnsi="Arial"/>
                <w:sz w:val="24"/>
                <w:szCs w:val="24"/>
              </w:rPr>
              <w:t xml:space="preserve"> (с учетом вычета коммунальных услуг),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9274,6</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9367,3</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9507,8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9669,4</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9862,8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10079,8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10331,8</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Охота</w:t>
            </w:r>
            <w:r>
              <w:rPr>
                <w:rFonts w:ascii="Arial" w:cs="Arial" w:eastAsia="Arial" w:hAnsi="Arial"/>
                <w:sz w:val="24"/>
                <w:szCs w:val="24"/>
              </w:rPr>
              <w:t xml:space="preserve">,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Лесное хозяйство,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530,0</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Рыбоводство, рыболовство</w:t>
            </w:r>
            <w:r>
              <w:rPr>
                <w:rFonts w:ascii="Arial" w:cs="Arial" w:eastAsia="Arial" w:hAnsi="Arial"/>
                <w:sz w:val="24"/>
                <w:szCs w:val="24"/>
              </w:rPr>
              <w:t xml:space="preserve">, 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4709,7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4756,8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4828,1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4924,7</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5047,8</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5199,2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5381,2</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r>
        <w:rPr>
          <w:rFonts w:ascii="Arial" w:cs="Arial" w:eastAsia="Arial" w:hAnsi="Arial"/>
          <w:sz w:val="24"/>
          <w:szCs w:val="24"/>
        </w:rPr>
        <w:t xml:space="preserve">к Прогнозу социально-экономического развития Кыргызской Республики на 2025-2029 годы</w:t>
      </w:r>
    </w:p>
    <w:p>
      <w:pPr>
        <w:spacing w:after="200" w:before="200"/>
        <w:jc w:val="center"/>
      </w:pPr>
      <w:r>
        <w:rPr>
          <w:rFonts w:ascii="Arial" w:cs="Arial" w:eastAsia="Arial" w:hAnsi="Arial"/>
          <w:b/>
          <w:bCs/>
          <w:sz w:val="32"/>
          <w:szCs w:val="32"/>
        </w:rPr>
        <w:t xml:space="preserve">Прогноз развития промышленности Кыргызской Республики на 2025-2029 годы, с учетом стоимости переработки давальческого сырья, но без учета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52"/>
        <w:gridCol w:w="820"/>
        <w:gridCol w:w="981"/>
        <w:gridCol w:w="720"/>
        <w:gridCol w:w="716"/>
        <w:gridCol w:w="755"/>
        <w:gridCol w:w="716"/>
        <w:gridCol w:w="716"/>
      </w:tblGrid>
      <w:tr>
        <w:tc>
          <w:tcPr>
            <w:tcW w:type="dxa" w:w="475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8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9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7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7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c>
          <w:tcPr>
            <w:tcW w:type="dxa" w:w="7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2028 год</w:t>
            </w:r>
          </w:p>
        </w:tc>
        <w:tc>
          <w:tcPr>
            <w:tcW w:type="dxa" w:w="7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2029 год</w:t>
            </w:r>
          </w:p>
        </w:tc>
      </w:tr>
      <w:tr>
        <w:tc>
          <w:tcPr>
            <w:vMerge w:val="continue"/>
            <w:tcBorders>
              <w:top w:val="single" w:color="CBBF9E" w:sz="4"/>
              <w:left w:val="single" w:color="CBBF9E" w:sz="4"/>
              <w:bottom w:val="single" w:color="CBBF9E" w:sz="4"/>
              <w:right w:val="single" w:color="CBBF9E" w:sz="4"/>
            </w:tcBorders>
          </w:tcP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 факт.</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промышленности в действующих ценах,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492127,8</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551106,5</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614247,4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624028,2</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693315,4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740994,7</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786595,3</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без учета производства золота,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283239,7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343624,4</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386855,0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423956,5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468712,2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507269,9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541274,6</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116,4</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без учета предприятий по разработке месторождения Кумтор,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310788,0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372107,7</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417268,5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465250,7</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506167,9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550159,5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592820,2</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Добыча полезных ископаемых,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56117,6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62414,4</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71285,8</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78589,9</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87050,3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90303,2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86037,3</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каменного угля и бурого угля (лигнита),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7134,9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8196,3</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9192,9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10260,5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11225,8</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11670,5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12134,0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сырой нефти и природного газа,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10645,5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11147,1</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11955,1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12745,2</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113840,9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14566,6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15650,7</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Добыча металлических руд,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37010,4</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41627,0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48518,4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53899,6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60166,8</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62176,1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56286,4</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122,3</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Добыча прочих полезных ископаемых,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1326,8</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1444,0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1619,4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1684,6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1816,8</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1966,2</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121,4</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Обрабатывающие производства,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392088,6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442340,7</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490756,1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487778,7</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541980,2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579240,6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623028,6</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пищевых продуктов (включая напитки) и табачных изделий,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82033,5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103440,8</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116232,3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128350,8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141255,2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156459,2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173646,6</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18064,8</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21777,8</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25164,8</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28675,3</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31314,21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34195,9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39448,4</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126,8</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4500,1</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5182,8</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5498,3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5753,9</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6050,6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6416,6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6675,2</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12091,5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14165,21</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16345,8</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18878,2</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21677,9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24760,7</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26960,9</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Производство химической продукции,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760,1</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839,3</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982,4</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871,1</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972,7</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42805,2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51330,6</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57131,4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61997,3</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69569,3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74299,0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79142,7</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220784,1</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233160,1</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255820,5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228747,6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255505,8</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265271,6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278052,3</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2423,2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2651,2</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2763,4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2874,8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3049,7</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3197,2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3358,4</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292,5</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345,9</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363,7</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392,3</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транспортных средств,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1890,9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2084,3</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2302,8</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2459,5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2634,1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2809,4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2936,8</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5728,8</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6553,8</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7386,9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7797,6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8591,9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9382,4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10245,6</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151,3</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I103,5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 Обеспечение (снабжение) электроэнергией, газом, паром и кондиционированным воздухом,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39331,7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40989,7</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46289,6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51347,8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57370,6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64076,7</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69642,9</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Водоснабжение, очистка, обработка отходов и получение вторичного сырья, млн. сомов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4589,9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5361,7</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5915,9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6311,8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69143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7374,1</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7886,6</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w:t>
      </w:r>
      <w:r>
        <w:rPr>
          <w:rFonts w:ascii="Arial" w:cs="Arial" w:eastAsia="Arial" w:hAnsi="Arial"/>
          <w:sz w:val="24"/>
          <w:szCs w:val="24"/>
        </w:rPr>
        <w:t xml:space="preserve">к Прогнозу социально-экономического развития Кыргызской Республики на 2025-2029 годы</w:t>
      </w:r>
    </w:p>
    <w:p>
      <w:pPr>
        <w:spacing w:after="200" w:before="200"/>
        <w:jc w:val="center"/>
      </w:pPr>
      <w:r>
        <w:rPr>
          <w:rFonts w:ascii="Arial" w:cs="Arial" w:eastAsia="Arial" w:hAnsi="Arial"/>
          <w:b/>
          <w:bCs/>
          <w:sz w:val="32"/>
          <w:szCs w:val="32"/>
        </w:rPr>
        <w:t xml:space="preserve">Прогноз развития промышленности Кыргызской Республики на 2025-2029 годы, без учета стоимости переработки давальческого сырья, но с учетом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26"/>
        <w:gridCol w:w="807"/>
        <w:gridCol w:w="674"/>
        <w:gridCol w:w="674"/>
        <w:gridCol w:w="674"/>
        <w:gridCol w:w="674"/>
        <w:gridCol w:w="674"/>
        <w:gridCol w:w="674"/>
      </w:tblGrid>
      <w:tr>
        <w:tc>
          <w:tcPr>
            <w:tcW w:type="dxa" w:w="532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8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6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6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6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6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c>
          <w:tcPr>
            <w:tcW w:type="dxa" w:w="6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2028 год</w:t>
            </w:r>
          </w:p>
        </w:tc>
        <w:tc>
          <w:tcPr>
            <w:tcW w:type="dxa" w:w="6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2029 год</w:t>
            </w:r>
          </w:p>
        </w:tc>
      </w:tr>
      <w:tr>
        <w:tc>
          <w:tcPr>
            <w:vMerge w:val="continue"/>
            <w:tcBorders>
              <w:top w:val="single" w:color="CBBF9E" w:sz="4"/>
              <w:left w:val="single" w:color="CBBF9E" w:sz="4"/>
              <w:bottom w:val="single" w:color="CBBF9E" w:sz="4"/>
              <w:right w:val="single" w:color="CBBF9E" w:sz="4"/>
            </w:tcBorders>
          </w:tcP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 факт.</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промышленности в действующих ценах,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482801,5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524256,4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584497,5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593723,2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659769,4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704998,9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747310,3</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без учета производства золота,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273913,5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316774,3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357105,0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393651,5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435166,3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471274,1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501989,6</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без учета предприятий по разработке месторождения Кумтор,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301461,7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345257,5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387518,6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434945,7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472621,9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514163,8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553535,2</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Добыча полезных ископаемых,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56117,6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63197,8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72126,0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79485,6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88022,9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91326,9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87137,1</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каменного угля и бурого угля (лигнита),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7134,9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8196,3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9192,9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10260,5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11225,8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11670,5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12134,0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сырой нефти и природного газа,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11930,5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12795,3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13640,9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14813,6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15590,3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16750,6</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Добыча металлических руд,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37010,4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41627,0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48518,4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53899,6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60166,8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62176,1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56286,4</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Добыча прочих полезных ископаемых,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1444,0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1619,4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1684,6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1816,8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1966,2</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Обрабатывающие производства,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372348,5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400299,3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443540,1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437779,3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486302,7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518092,9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5561663</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пищевых продуктов (включая напитки) и табачных изделий,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71207,7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83415,9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93731,2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103503,7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113910,0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126170,7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140030,8</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16417,1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19791,5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22869,5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26059,9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28458,0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31076,9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35850,3</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4157,9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4788,6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5080,1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5316,2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5590,3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5928,6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6167,5</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5269,2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6172,9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7123,1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8226,7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9446,7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10790,2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11749,0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Производство химической продукции,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982,4</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42803,8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51329,1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57129,7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61995,4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69567,1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74296,8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79140,3</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220784,1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221633,2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243173,3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217438,8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242874,1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252157,1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264306,0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2423,2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2651,2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2763,4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2874,8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3049,7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3197,2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3358,4</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392,3</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транспортных средств,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1890,9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2084,3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2302,8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2459,5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2634,1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2809,4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2936,8</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5628,2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6438,7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7257,1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7660,6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8441,1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9217,6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10065,7</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 Обеспечение (снабжение) электроэнергией, газом, паром и кондиционированным воздухом,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49745,5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55590,8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63131,7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70378,0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78786,4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88480,0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96415,8</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Водоснабжение, очистка, обработка отходов и получение вторичного сырья, млн. сомов</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4589,9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5168,5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5699,8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6080,4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6657,3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7099,1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7591,1</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5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w:t>
      </w:r>
      <w:r>
        <w:rPr>
          <w:rFonts w:ascii="Arial" w:cs="Arial" w:eastAsia="Arial" w:hAnsi="Arial"/>
          <w:sz w:val="24"/>
          <w:szCs w:val="24"/>
        </w:rPr>
        <w:t xml:space="preserve">к Прогнозу социально-экономического развития Кыргызской Республики на 2025-2029 годы</w:t>
      </w:r>
    </w:p>
    <w:p>
      <w:pPr>
        <w:spacing w:after="200" w:before="200"/>
        <w:jc w:val="center"/>
      </w:pPr>
      <w:r>
        <w:rPr>
          <w:rFonts w:ascii="Arial" w:cs="Arial" w:eastAsia="Arial" w:hAnsi="Arial"/>
          <w:b/>
          <w:bCs/>
          <w:sz w:val="32"/>
          <w:szCs w:val="32"/>
        </w:rPr>
        <w:t xml:space="preserve">Прогноз производства натуральных видов продукции промышленности Кыргызской Республики на 2025-2029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00"/>
        <w:gridCol w:w="772"/>
        <w:gridCol w:w="648"/>
        <w:gridCol w:w="652"/>
        <w:gridCol w:w="652"/>
        <w:gridCol w:w="652"/>
        <w:gridCol w:w="652"/>
        <w:gridCol w:w="652"/>
      </w:tblGrid>
      <w:tr>
        <w:tc>
          <w:tcPr>
            <w:tcW w:type="dxa" w:w="550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7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6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6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6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6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c>
          <w:tcPr>
            <w:tcW w:type="dxa" w:w="6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2028 год</w:t>
            </w:r>
          </w:p>
        </w:tc>
        <w:tc>
          <w:tcPr>
            <w:tcW w:type="dxa" w:w="6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2029 год</w:t>
            </w:r>
          </w:p>
        </w:tc>
      </w:tr>
      <w:tr>
        <w:tc>
          <w:tcPr>
            <w:vMerge w:val="continue"/>
            <w:tcBorders>
              <w:top w:val="single" w:color="CBBF9E" w:sz="4"/>
              <w:left w:val="single" w:color="CBBF9E" w:sz="4"/>
              <w:bottom w:val="single" w:color="CBBF9E" w:sz="4"/>
              <w:right w:val="single" w:color="CBBF9E" w:sz="4"/>
            </w:tcBorders>
          </w:tcP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 факт</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Добыча полезных ископаемых</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 тонн</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4084,0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Сырая нефть, тыс. тонн</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 млн. м</w:t>
            </w:r>
            <w:r>
              <w:rPr>
                <w:rFonts w:ascii="Arial" w:cs="Arial" w:eastAsia="Arial" w:hAnsi="Arial"/>
                <w:sz w:val="24"/>
                <w:szCs w:val="24"/>
              </w:rPr>
              <w:t xml:space="preserve">3</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Руды и концентраты золотосодержащие, тонн</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42855,6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44100,0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48400,0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51700,0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54148,3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53292,1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46612,4</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Обрабатывающие производства</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растительное, тонн</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6486,5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12381,4</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15476,7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18572,1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20635,6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22699,2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22600,0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 тыс. дал</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1417,2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1488,1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1562,5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1640,6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1722,6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1808,8</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 тыс. дал</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4662,6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5459,1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5732,0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6018,6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6319,6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6635,5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6967,3</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Воды минеральные, газированные, неподслащенные и неароматизированные, тыс. дал</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7181,7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6179,2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6271,9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6366,0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6461,5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6558,4</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Напитки безалкогольные, тыс. дал</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21200,6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16189,1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16432,0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16678,4</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16928,6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17182,5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17185,0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Вина плодово-ягодные, тыс. дал</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Коньяки, тыс. дал</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136,4</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 тыс. дал</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Виноматериалы, тыс. дал</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Мука из зерновых культур, тыс. тонн</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300,2</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Сахар-песок, тыс. тонн</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186,5</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Текстильное производство; производство одежды и обуви, кожи и прочих кожаных изделий, млн. сомов</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16417,1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19791,5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22869,5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26059,9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28458,0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31076,9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35850,3</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 тыс. тонн</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2969,1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2973,1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Листовое стекло, млн. м</w:t>
            </w:r>
            <w:r>
              <w:rPr>
                <w:rFonts w:ascii="Arial" w:cs="Arial" w:eastAsia="Arial" w:hAnsi="Arial"/>
                <w:sz w:val="24"/>
                <w:szCs w:val="24"/>
              </w:rPr>
              <w:t xml:space="preserve">2</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Тракторные прицепы, шт.</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Радиаторы, тыс. шт.</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млн. шт.</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Моторное топливо, тыс. тонн</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Дизельное топливо, тыс. тонн</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тыс. тонн</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Обеспечение (снабжение) электроэнергией, газом, паром и кондиционированным воздухом</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 млн. кВт.ч</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13825,6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14171,2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15234,1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16087,2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16762,9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18020,1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18650,8</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Тепловая энергия, тыс. Гкал</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4637,8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4753,7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4967,7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5141,5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5398,6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5630,7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5844,7</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w:t>
      </w:r>
      <w:r>
        <w:rPr>
          <w:rFonts w:ascii="Arial" w:cs="Arial" w:eastAsia="Arial" w:hAnsi="Arial"/>
          <w:sz w:val="24"/>
          <w:szCs w:val="24"/>
        </w:rPr>
        <w:t xml:space="preserve">к Прогнозу социально-экономического развития Кыргызской Республики на 2025-2029 годы</w:t>
      </w:r>
    </w:p>
    <w:p>
      <w:pPr>
        <w:spacing w:after="200" w:before="200"/>
        <w:jc w:val="center"/>
      </w:pPr>
      <w:r>
        <w:rPr>
          <w:rFonts w:ascii="Arial" w:cs="Arial" w:eastAsia="Arial" w:hAnsi="Arial"/>
          <w:b/>
          <w:bCs/>
          <w:sz w:val="32"/>
          <w:szCs w:val="32"/>
        </w:rPr>
        <w:t xml:space="preserve">Прогноз развития сферы услуг в Кыргызской Республике на 2025-2029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23"/>
        <w:gridCol w:w="792"/>
        <w:gridCol w:w="727"/>
        <w:gridCol w:w="727"/>
        <w:gridCol w:w="727"/>
        <w:gridCol w:w="727"/>
        <w:gridCol w:w="727"/>
        <w:gridCol w:w="727"/>
      </w:tblGrid>
      <w:tr>
        <w:tc>
          <w:tcPr>
            <w:tcW w:type="dxa" w:w="50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2028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2029 год</w:t>
            </w:r>
          </w:p>
        </w:tc>
      </w:tr>
      <w:tr>
        <w:tc>
          <w:tcPr>
            <w:vMerge w:val="continue"/>
            <w:tcBorders>
              <w:top w:val="single" w:color="CBBF9E" w:sz="4"/>
              <w:left w:val="single" w:color="CBBF9E" w:sz="4"/>
              <w:bottom w:val="single" w:color="CBBF9E" w:sz="4"/>
              <w:right w:val="single" w:color="CBBF9E" w:sz="4"/>
            </w:tcBorders>
          </w:tcP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сферы услуг, млн. сомов</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1005060,1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1153831,1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1337547,1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1523732,4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1746769,5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1986957,5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2264982,3</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Оптовая и розничная торговля; ремонт автомобилей и мотоциклов, млн. сомов</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351715,1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415397,2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501461,4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589236,2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703406,3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824813,9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965431,2</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Транспортная деятельность и хранение грузов, млн. сомов</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80470,3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94713,5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111719,2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127166,8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145593,3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165131,9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188176,1</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Гостиницы и рестораны, млн. сомов</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43310,5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56217,0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70496,2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86061,7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103170,8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122477,9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146074,5</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и связь, млн. сомов</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43048,6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45448,6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48684,5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52303,2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56136,0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60248,5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64662,3</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Финансовое посредничество и страхование, млн. сомов</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99454,4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106475,9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115068,5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123802,2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134486,3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145430,1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156977,3</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Операции с недвижимым имуществом, млн. сомов</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79959,3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85935,8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94202,8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102151,6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112055,2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122341,9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133832,3</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Профессиональная, научная и техническая деятельность, млн. сомов</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30290,5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37091,3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39906,6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42943,4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46443,3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50231,9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54174,2</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Административная и вспомогательная деятельность, млн. сомов</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8858,7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8947,3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9308,5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9732,1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10294,3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10920,2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11527,3</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Государственное управление и оборона; обязательное социальное обеспечение, млн. сомов</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95292,2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110681,9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128938,9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143431,6!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158197,9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174349,9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190355,2</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 млн. сомов</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89669,7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99471,5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112154,1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129381,0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146873,3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167215,2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191294,2</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Здравоохранение и социальное обслуживание населения, млн. сомов</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46568,6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52282,6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58811,6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66057,2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73649,8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81966,7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95077,3</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Искусство, развлечения и отдых, млн. сомов</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9483,3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10555,1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11842,8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13231,4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14786,7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16528,6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18393,1</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Прочая обслуживающая деятельность, млн. сомов</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26629,7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30272,6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34583,5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37831,5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41232,6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44811,6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48468,2</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Деятельность частных домашних хозяйств с наемными работниками; производство частными домашними хозяйствами разнообразных товаров и услуг для собственного потребления</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309,2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340,8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368,5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402,4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443,6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489,0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539,1</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 %</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w:t>
      </w:r>
      <w:r>
        <w:rPr>
          <w:rFonts w:ascii="Arial" w:cs="Arial" w:eastAsia="Arial" w:hAnsi="Arial"/>
          <w:sz w:val="24"/>
          <w:szCs w:val="24"/>
        </w:rPr>
        <w:t xml:space="preserve">к Прогнозу социально-экономического развития Кыргызской Республики на 2025-2029 годы</w:t>
      </w:r>
    </w:p>
    <w:p>
      <w:pPr>
        <w:spacing w:after="200" w:before="200"/>
        <w:jc w:val="center"/>
      </w:pPr>
      <w:r>
        <w:rPr>
          <w:rFonts w:ascii="Arial" w:cs="Arial" w:eastAsia="Arial" w:hAnsi="Arial"/>
          <w:b/>
          <w:bCs/>
          <w:sz w:val="32"/>
          <w:szCs w:val="32"/>
        </w:rPr>
        <w:t xml:space="preserve">Прогноз объема оказанных рыночных услуг в Кыргызской Республике на 2025-2029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32"/>
        <w:gridCol w:w="884"/>
        <w:gridCol w:w="727"/>
        <w:gridCol w:w="727"/>
        <w:gridCol w:w="727"/>
        <w:gridCol w:w="727"/>
        <w:gridCol w:w="727"/>
        <w:gridCol w:w="727"/>
      </w:tblGrid>
      <w:tr>
        <w:tc>
          <w:tcPr>
            <w:tcW w:type="dxa" w:w="493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8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2028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2029 год</w:t>
            </w:r>
          </w:p>
        </w:tc>
      </w:tr>
      <w:tr>
        <w:tc>
          <w:tcPr>
            <w:vMerge w:val="continue"/>
            <w:tcBorders>
              <w:top w:val="single" w:color="CBBF9E" w:sz="4"/>
              <w:left w:val="single" w:color="CBBF9E" w:sz="4"/>
              <w:bottom w:val="single" w:color="CBBF9E" w:sz="4"/>
              <w:right w:val="single" w:color="CBBF9E" w:sz="4"/>
            </w:tcBorders>
          </w:tcP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93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Объем оказанных рыночных услуг, млн. сомов</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1594511,8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1919011,6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2216571,2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2657950,3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3112541,0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3627158,1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4199450,5</w:t>
            </w:r>
          </w:p>
        </w:tc>
      </w:tr>
      <w:tr>
        <w:tc>
          <w:tcPr>
            <w:tcW w:type="dxa" w:w="4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r>
        <w:tc>
          <w:tcPr>
            <w:tcW w:type="dxa" w:w="4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r>
      <w:tr>
        <w:tc>
          <w:tcPr>
            <w:tcW w:type="dxa" w:w="4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3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Оборот оптовой и розничной торговли; ремонта автомобилей и мотоциклов, млн. сомов</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1287491,7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1567160,9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1815719,9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2206786,9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2605890,1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3059620,5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3560741,0</w:t>
            </w:r>
          </w:p>
        </w:tc>
      </w:tr>
      <w:tr>
        <w:tc>
          <w:tcPr>
            <w:tcW w:type="dxa" w:w="4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4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493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Гостиницы и рестораны, млн. сомов</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41191,1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56217,0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70496,2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86061,7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103170,8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122477,9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146074,5</w:t>
            </w:r>
          </w:p>
        </w:tc>
      </w:tr>
      <w:tr>
        <w:tc>
          <w:tcPr>
            <w:tcW w:type="dxa" w:w="4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4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r>
      <w:tr>
        <w:tc>
          <w:tcPr>
            <w:tcW w:type="dxa" w:w="493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и связь, млн. сомов</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43061,3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45448,6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48684,5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52303,2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56136,0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60248,5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64662,3</w:t>
            </w:r>
          </w:p>
        </w:tc>
      </w:tr>
      <w:tr>
        <w:tc>
          <w:tcPr>
            <w:tcW w:type="dxa" w:w="4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93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Прочие, млн. сомов</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222767,7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250185,1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281670,6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312798,5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347344,1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384811,2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427972,6</w:t>
            </w:r>
          </w:p>
        </w:tc>
      </w:tr>
      <w:tr>
        <w:tc>
          <w:tcPr>
            <w:tcW w:type="dxa" w:w="4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w:t>
      </w:r>
      <w:r>
        <w:rPr>
          <w:rFonts w:ascii="Arial" w:cs="Arial" w:eastAsia="Arial" w:hAnsi="Arial"/>
          <w:sz w:val="24"/>
          <w:szCs w:val="24"/>
        </w:rPr>
        <w:t xml:space="preserve">к Прогнозу социально-экономического развития Кыргызской Республики на 2025-2029 годы</w:t>
      </w:r>
    </w:p>
    <w:p>
      <w:pPr>
        <w:spacing w:after="200" w:before="200"/>
        <w:jc w:val="center"/>
      </w:pPr>
      <w:r>
        <w:rPr>
          <w:rFonts w:ascii="Arial" w:cs="Arial" w:eastAsia="Arial" w:hAnsi="Arial"/>
          <w:b/>
          <w:bCs/>
          <w:sz w:val="32"/>
          <w:szCs w:val="32"/>
        </w:rPr>
        <w:t xml:space="preserve">Прогноз объема инвестиций в основной капитал в Кыргызской Республике на 2025-2029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03"/>
        <w:gridCol w:w="800"/>
        <w:gridCol w:w="706"/>
        <w:gridCol w:w="674"/>
        <w:gridCol w:w="727"/>
        <w:gridCol w:w="672"/>
        <w:gridCol w:w="672"/>
        <w:gridCol w:w="725"/>
      </w:tblGrid>
      <w:tr>
        <w:tc>
          <w:tcPr>
            <w:tcW w:type="dxa" w:w="52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8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7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6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6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c>
          <w:tcPr>
            <w:tcW w:type="dxa" w:w="6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2028 год</w:t>
            </w:r>
          </w:p>
        </w:tc>
        <w:tc>
          <w:tcPr>
            <w:tcW w:type="dxa" w:w="7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2029 год</w:t>
            </w:r>
          </w:p>
        </w:tc>
      </w:tr>
      <w:tr>
        <w:tc>
          <w:tcPr>
            <w:vMerge w:val="continue"/>
            <w:tcBorders>
              <w:top w:val="single" w:color="CBBF9E" w:sz="4"/>
              <w:left w:val="single" w:color="CBBF9E" w:sz="4"/>
              <w:bottom w:val="single" w:color="CBBF9E" w:sz="4"/>
              <w:right w:val="single" w:color="CBBF9E" w:sz="4"/>
            </w:tcBorders>
          </w:tcP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20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Инвестиции в основной капитал, млн. сомов</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168537,4</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221716,0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263358,1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308814,5</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357586,7</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414002,0</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487410,2</w:t>
            </w:r>
          </w:p>
        </w:tc>
      </w:tr>
      <w:tr>
        <w:tc>
          <w:tcPr>
            <w:tcW w:type="dxa" w:w="5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118,8</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128,1</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112,6</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w:t>
            </w:r>
          </w:p>
        </w:tc>
      </w:tr>
      <w:tr>
        <w:tc>
          <w:tcPr>
            <w:tcW w:type="dxa" w:w="5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0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Внутренние инвестиции, млн. сомов</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141394,9</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167438,8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204044,5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243720,9</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285499,8</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333157,6</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397794,0</w:t>
            </w:r>
          </w:p>
        </w:tc>
      </w:tr>
      <w:tr>
        <w:tc>
          <w:tcPr>
            <w:tcW w:type="dxa" w:w="5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114,7</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w:t>
            </w:r>
          </w:p>
        </w:tc>
      </w:tr>
      <w:tr>
        <w:tc>
          <w:tcPr>
            <w:tcW w:type="dxa" w:w="5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(включая средства на чрезвычайные ситуации), млн. сомов</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23473,3</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11000,0</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12000,0</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13000,0</w:t>
            </w:r>
          </w:p>
        </w:tc>
      </w:tr>
      <w:tr>
        <w:tc>
          <w:tcPr>
            <w:tcW w:type="dxa" w:w="5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Местный бюджет, млн. сомов</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5336,3</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6088,6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6518,2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7039,8</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7743,7</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8447,5</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9151,3</w:t>
            </w:r>
          </w:p>
        </w:tc>
      </w:tr>
      <w:tr>
        <w:tc>
          <w:tcPr>
            <w:tcW w:type="dxa" w:w="5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предприятий и организаций, млн. сомов</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56860,5</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68283,0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85362,7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105090,3</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122669,0</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141152,3</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170534,7</w:t>
            </w:r>
          </w:p>
        </w:tc>
      </w:tr>
      <w:tr>
        <w:tc>
          <w:tcPr>
            <w:tcW w:type="dxa" w:w="5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банков, млн. сомов</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3285,5</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3860,7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4549,3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5335,4</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6232,8</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7257,3</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8426,9</w:t>
            </w:r>
          </w:p>
        </w:tc>
      </w:tr>
      <w:tr>
        <w:tc>
          <w:tcPr>
            <w:tcW w:type="dxa" w:w="5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населения и благотворительная помощь резидентов Кыргызской Республики, млн. сомов</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52439,3</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81206,5</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99614,3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116255,4</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137854,3</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164300,5</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196681,1</w:t>
            </w:r>
          </w:p>
        </w:tc>
      </w:tr>
      <w:tr>
        <w:tc>
          <w:tcPr>
            <w:tcW w:type="dxa" w:w="520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Внешние инвестиции, млн. сомов</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27142,5</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54277,2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59313,6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65093,6</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72086,9</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80844,4</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89616,2</w:t>
            </w:r>
          </w:p>
        </w:tc>
      </w:tr>
      <w:tr>
        <w:tc>
          <w:tcPr>
            <w:tcW w:type="dxa" w:w="5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73,7</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5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кредиты, млн. сомов</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13368,8</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27583,6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29664,3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32097,3</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36114,7</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40950,7</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45786,7</w:t>
            </w:r>
          </w:p>
        </w:tc>
      </w:tr>
      <w:tr>
        <w:tc>
          <w:tcPr>
            <w:tcW w:type="dxa" w:w="5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Прямые иностранные инвестиции, млн. сомов</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3525,2</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13843,4</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14741,7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15688,3</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16023,6</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16935,8</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17862,3</w:t>
            </w:r>
          </w:p>
        </w:tc>
      </w:tr>
      <w:tr>
        <w:tc>
          <w:tcPr>
            <w:tcW w:type="dxa" w:w="5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гранты и гуманитарная помощь, млн. сомов</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10248,5</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12850,2</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14907,6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17308,0</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19948,6</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22957,9</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25967,2</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w:t>
      </w:r>
      <w:r>
        <w:rPr>
          <w:rFonts w:ascii="Arial" w:cs="Arial" w:eastAsia="Arial" w:hAnsi="Arial"/>
          <w:sz w:val="24"/>
          <w:szCs w:val="24"/>
        </w:rPr>
        <w:t xml:space="preserve">к Прогнозу социально-экономического развития Кыргызской Республики на 2025-2029 годы</w:t>
      </w:r>
    </w:p>
    <w:p>
      <w:pPr>
        <w:spacing w:after="200" w:before="200"/>
        <w:jc w:val="center"/>
      </w:pPr>
      <w:r>
        <w:rPr>
          <w:rFonts w:ascii="Arial" w:cs="Arial" w:eastAsia="Arial" w:hAnsi="Arial"/>
          <w:b/>
          <w:bCs/>
          <w:sz w:val="32"/>
          <w:szCs w:val="32"/>
        </w:rPr>
        <w:t xml:space="preserve">Прогноз экспорта и импорта товаров в Кыргызской Республике на 2025-2029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81"/>
        <w:gridCol w:w="1606"/>
        <w:gridCol w:w="1059"/>
        <w:gridCol w:w="778"/>
        <w:gridCol w:w="845"/>
        <w:gridCol w:w="778"/>
        <w:gridCol w:w="778"/>
        <w:gridCol w:w="778"/>
        <w:gridCol w:w="778"/>
      </w:tblGrid>
      <w:tr>
        <w:tc>
          <w:tcPr>
            <w:tcW w:type="dxa" w:w="278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6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0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7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7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7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c>
          <w:tcPr>
            <w:tcW w:type="dxa" w:w="7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2028 год</w:t>
            </w:r>
          </w:p>
        </w:tc>
        <w:tc>
          <w:tcPr>
            <w:tcW w:type="dxa" w:w="7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2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3308,9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3506,0</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3666,0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3548,0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3735,0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3835,0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3953,0</w:t>
            </w:r>
          </w:p>
        </w:tc>
      </w:tr>
      <w:tr>
        <w:tc>
          <w:tcPr>
            <w:tcW w:type="dxa" w:w="2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2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12352,0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13400,0</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14400,0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15400,0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16400,0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17400,0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18400,0</w:t>
            </w:r>
          </w:p>
        </w:tc>
      </w:tr>
      <w:tr>
        <w:tc>
          <w:tcPr>
            <w:tcW w:type="dxa" w:w="2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2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экспорта и импорта товаров</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-9043,1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-9894</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-11852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-12665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-13565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-14447</w:t>
            </w:r>
          </w:p>
        </w:tc>
      </w:tr>
      <w:tr>
        <w:tc>
          <w:tcPr>
            <w:tcW w:type="dxa" w:w="2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2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Внешнеторговый оборот</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15660,9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16906,0</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18066,0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18948,0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20135,0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21235,0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22353,0</w:t>
            </w:r>
          </w:p>
        </w:tc>
      </w:tr>
      <w:tr>
        <w:tc>
          <w:tcPr>
            <w:tcW w:type="dxa" w:w="2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w:t>
      </w:r>
      <w:r>
        <w:rPr>
          <w:rFonts w:ascii="Arial" w:cs="Arial" w:eastAsia="Arial" w:hAnsi="Arial"/>
          <w:sz w:val="24"/>
          <w:szCs w:val="24"/>
        </w:rPr>
        <w:t xml:space="preserve">к Прогнозу социально-экономического развития Кыргызской Республики на 2025-2029 годы</w:t>
      </w:r>
    </w:p>
    <w:p>
      <w:pPr>
        <w:spacing w:after="200" w:before="200"/>
        <w:jc w:val="center"/>
      </w:pPr>
      <w:r>
        <w:rPr>
          <w:rFonts w:ascii="Arial" w:cs="Arial" w:eastAsia="Arial" w:hAnsi="Arial"/>
          <w:b/>
          <w:bCs/>
          <w:sz w:val="32"/>
          <w:szCs w:val="32"/>
        </w:rPr>
        <w:t xml:space="preserve">Прогноз экспорта основных видов продукции из Кыргызской Республики на 2025-2029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36"/>
        <w:gridCol w:w="1498"/>
        <w:gridCol w:w="987"/>
        <w:gridCol w:w="727"/>
        <w:gridCol w:w="727"/>
        <w:gridCol w:w="727"/>
        <w:gridCol w:w="727"/>
        <w:gridCol w:w="727"/>
        <w:gridCol w:w="723"/>
      </w:tblGrid>
      <w:tr>
        <w:tc>
          <w:tcPr>
            <w:tcW w:type="dxa" w:w="333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9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2028 год</w:t>
            </w:r>
          </w:p>
        </w:tc>
        <w:tc>
          <w:tcPr>
            <w:tcW w:type="dxa" w:w="7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3308,9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3548,0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3735,0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3835,0</w:t>
            </w:r>
          </w:p>
        </w:tc>
        <w:tc>
          <w:tcPr>
            <w:tcW w:type="dxa" w:w="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3953,0</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Стекло листовое</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w:t>
            </w:r>
          </w:p>
        </w:tc>
        <w:tc>
          <w:tcPr>
            <w:tcW w:type="dxa" w:w="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одежды и одежные принадлежности</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157,5</w:t>
            </w:r>
          </w:p>
        </w:tc>
        <w:tc>
          <w:tcPr>
            <w:tcW w:type="dxa" w:w="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167,0</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и фрукты</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216,2</w:t>
            </w:r>
          </w:p>
        </w:tc>
        <w:tc>
          <w:tcPr>
            <w:tcW w:type="dxa" w:w="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231,6</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 - волокно</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w:t>
            </w:r>
          </w:p>
        </w:tc>
        <w:tc>
          <w:tcPr>
            <w:tcW w:type="dxa" w:w="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w:t>
      </w:r>
      <w:r>
        <w:rPr>
          <w:rFonts w:ascii="Arial" w:cs="Arial" w:eastAsia="Arial" w:hAnsi="Arial"/>
          <w:sz w:val="24"/>
          <w:szCs w:val="24"/>
        </w:rPr>
        <w:t xml:space="preserve">к Прогнозу социально-экономического развития Кыргызской Республики на 2025-2029 годы</w:t>
      </w:r>
    </w:p>
    <w:p>
      <w:pPr>
        <w:spacing w:after="200" w:before="200"/>
        <w:jc w:val="center"/>
      </w:pPr>
      <w:r>
        <w:rPr>
          <w:rFonts w:ascii="Arial" w:cs="Arial" w:eastAsia="Arial" w:hAnsi="Arial"/>
          <w:b/>
          <w:bCs/>
          <w:sz w:val="32"/>
          <w:szCs w:val="32"/>
        </w:rPr>
        <w:t xml:space="preserve">Прогноз импорта основных товаров в Кыргызскую Республику на 2025-2029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85"/>
        <w:gridCol w:w="1079"/>
        <w:gridCol w:w="702"/>
        <w:gridCol w:w="588"/>
        <w:gridCol w:w="625"/>
        <w:gridCol w:w="625"/>
        <w:gridCol w:w="625"/>
        <w:gridCol w:w="625"/>
        <w:gridCol w:w="625"/>
      </w:tblGrid>
      <w:tr>
        <w:tc>
          <w:tcPr>
            <w:tcW w:type="dxa" w:w="46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7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5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6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6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6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c>
          <w:tcPr>
            <w:tcW w:type="dxa" w:w="6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2028 год</w:t>
            </w:r>
          </w:p>
        </w:tc>
        <w:tc>
          <w:tcPr>
            <w:tcW w:type="dxa" w:w="6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Импорт товаров всего</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12352,0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13400,0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14400,0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15400,0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16400,0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17400,0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18400,0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3126,2</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3216,0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3456,0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3696,0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3936,0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4176,0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4416,0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95,7</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нефтепродукты</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750,4</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707,6</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897,8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1176,0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277,3</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277,3</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Авиакеросин</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Дизтопливо</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251,8</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360,8</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355,4</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113,3</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89,1</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 и механические устройства, специально предназначенные для конкретных отраслей и их части</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2582,3</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227,9</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оборудование и аппаратура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648,6</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121,8</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наземного транспорта и их части</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Черный металл и изделия из него</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462,1</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Пластмассы и изделия из них</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261,4</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 резина и изделия из нее</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Удобрения</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Древесина и изделия из нее</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картон и изделия из них</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70,1</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Фармацевтическая продукция</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228,2</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238,7</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95,7</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Одежда и ее принадлежности</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189,2</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Продовольственные товары (включая сельхозсырье)</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1159,0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188,9</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200,1</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0,71</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и табачные изделия</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71,1</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134,2</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Пшеница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67,9</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стран ЕАЭС, млн. долл. США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67,9</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w:t>
            </w:r>
          </w:p>
        </w:tc>
      </w:tr>
      <w:tr>
        <w:tc>
          <w:tcPr>
            <w:tcW w:type="dxa" w:w="46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w:t>
      </w:r>
      <w:r>
        <w:rPr>
          <w:rFonts w:ascii="Arial" w:cs="Arial" w:eastAsia="Arial" w:hAnsi="Arial"/>
          <w:sz w:val="24"/>
          <w:szCs w:val="24"/>
        </w:rPr>
        <w:t xml:space="preserve">к Прогнозу социально-экономического развития Кыргызской Республики на 2025-2029 годы</w:t>
      </w:r>
    </w:p>
    <w:p>
      <w:pPr>
        <w:spacing w:after="200" w:before="200"/>
        <w:jc w:val="center"/>
      </w:pPr>
      <w:r>
        <w:rPr>
          <w:rFonts w:ascii="Arial" w:cs="Arial" w:eastAsia="Arial" w:hAnsi="Arial"/>
          <w:b/>
          <w:bCs/>
          <w:sz w:val="32"/>
          <w:szCs w:val="32"/>
        </w:rPr>
        <w:t xml:space="preserve">Прогнозные показатели развития регионов Кыргызской Республики на 2025-2029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48"/>
        <w:gridCol w:w="1099"/>
        <w:gridCol w:w="855"/>
        <w:gridCol w:w="855"/>
        <w:gridCol w:w="855"/>
        <w:gridCol w:w="855"/>
        <w:gridCol w:w="855"/>
        <w:gridCol w:w="855"/>
      </w:tblGrid>
      <w:tr>
        <w:tc>
          <w:tcPr>
            <w:tcW w:type="dxa" w:w="39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tcW w:type="dxa" w:w="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2026 год</w:t>
            </w:r>
          </w:p>
        </w:tc>
        <w:tc>
          <w:tcPr>
            <w:tcW w:type="dxa" w:w="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2027 год</w:t>
            </w:r>
          </w:p>
        </w:tc>
        <w:tc>
          <w:tcPr>
            <w:tcW w:type="dxa" w:w="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2028 год</w:t>
            </w:r>
          </w:p>
        </w:tc>
        <w:tc>
          <w:tcPr>
            <w:tcW w:type="dxa" w:w="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2029 год</w:t>
            </w:r>
          </w:p>
        </w:tc>
      </w:tr>
      <w:tr>
        <w:tc>
          <w:tcPr>
            <w:vMerge w:val="continue"/>
            <w:tcBorders>
              <w:top w:val="single" w:color="CBBF9E" w:sz="4"/>
              <w:left w:val="single" w:color="CBBF9E" w:sz="4"/>
              <w:bottom w:val="single" w:color="CBBF9E" w:sz="4"/>
              <w:right w:val="single" w:color="CBBF9E" w:sz="4"/>
            </w:tcBorders>
          </w:tcP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Валовой региональный продукт (млн. сомов)</w:t>
            </w:r>
            <w:r>
              <w:rPr>
                <w:rFonts w:ascii="Arial" w:cs="Arial" w:eastAsia="Arial" w:hAnsi="Arial"/>
                <w:sz w:val="24"/>
                <w:szCs w:val="24"/>
              </w:rPr>
              <w:t xml:space="preserve">(1)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1228898,8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1414726,7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1624087,2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1813785,2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2053420,4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2296183,1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2562898,0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41824,2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48221,4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54679,4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60271,0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66614,5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72962,0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79859,2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121928,0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138715,4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158074,5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174939,7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199303,7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220808,6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243363,9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102866,8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114978,7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130459,1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133534,4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149628,4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165560,0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182131,3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30075,9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34759,6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39769,5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44270,2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48162,9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52910,2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57760,2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84768,5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98060,4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110486,4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121867,8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137025,9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151963,4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166665,0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45191,1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50428,3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55888,7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61738,1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68703,1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74485,9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80726,8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183158,3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213580,5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242752,7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269830,8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308563,0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345108,8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391235,4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549196,6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633364,9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733659,6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836361,8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949921,5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1069810,0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1204284,9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69889,4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82617,6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98317,1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110971,3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125497,4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142574,1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156871,3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Валовая продукция сельского хозяйства, лесного хозяйства и рыболовства (млн. сомов)</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378699,3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406022,5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437803,0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468844,1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504995,4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537355,9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567939,8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27410,6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29128,1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31288,6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33595,2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35833,1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37777,1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39519,2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71727,3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76452,3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81921,8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87876,0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94739,6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101777,6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107570,3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48283,7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51353,2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55819,3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59777,1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64386,3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68512,2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72512,3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26644,0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28259,8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30802,3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32848,78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35529,8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37806,5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39958,3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74681,1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79644,41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84336,6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89852,1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96776,2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102026,4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106522,6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29499,7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31241,8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34103,7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36085,7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38602,6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40657,0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42989,2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98250,3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107686,8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117134,3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126272,6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136424,4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145952,4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155944,6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882,6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1172,6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1514,9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Валовая продукция промышленности
 (с учетом стоимости переработки давальческого сырья, без учета покупной электроэнергии) (млн. сомов)</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492127,8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551106,5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614247,4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624028,2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6933153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740994,6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786595,3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10138,3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10763,1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60444,0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74952,6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83835,9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88026,8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95099,4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102504,6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108927,5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81016,4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85668,8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95883,9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85275,3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93457,4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101598,9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106601,1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5937,5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7102,8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7312,7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7657,6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20745,2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27946,3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29867,6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31298,8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34903,8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35956,7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37949,9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26120,1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29283,6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31404,6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32844,5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36916,2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38355,3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40362,6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218699,6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240115,7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269352,0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280698,4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313543,6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335381,0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357652,6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66214,5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69868,5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78272,3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79178,5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89237,2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95970,9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101984,4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8178,4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11306,4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11719,6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13335,2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13776,2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14696,4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Объем продукции промышленности
 (без учета стоимости переработки давальческого сырья, но с учетом покупной электроэнергии) (млн. сомов)</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482801,5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524256,4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584497,5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593723,2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659769,4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704998,9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747310,3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6114,7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6822,3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7589,1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7921,2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8409,1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52666,1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56874,1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63555,3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48663,9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53678,7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62601,0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66521,6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107,474,0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82144,1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90092,0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98763,6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103773,5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112089,5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114982,6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120640,0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6861,6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7402,2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17276,4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19325,6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20654,2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21746,5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24275,5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25024,2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26410,5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26253,5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29467,8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30891,1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32173,2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35845,1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37267,0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39062,1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217927,2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234032,0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266839,7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278466,8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311223,9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335038,8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357074,3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68229,1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74338,4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81652,9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85848,2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96582,2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103078,9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109108,7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7939,9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8811,7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9848,1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12681,8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Валовой выпуск сферы услуг (млн. сомов)</w:t>
            </w:r>
            <w:r>
              <w:rPr>
                <w:rFonts w:ascii="Arial" w:cs="Arial" w:eastAsia="Arial" w:hAnsi="Arial"/>
                <w:sz w:val="24"/>
                <w:szCs w:val="24"/>
              </w:rPr>
              <w:t xml:space="preserve">(2)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1005060,1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1153831,1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1337547,1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1523732,4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1746769,5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1986957,5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2264982,3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34939,0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40790,5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46955,7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52678,7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58912,8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65799,3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72923,6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99894,1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118784,1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137933,6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156642,9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183801,2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206587,4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230957,7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45402,9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51927,3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60985,2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69334,7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81675,4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93650,2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105403,8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28295,9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33952,5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38815,9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43838,1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48796,5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54196,0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59713,7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68733,7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83514,5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96393,2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108452,1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125658,9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143765,3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161189,2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28281,1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33078,8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38074,9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43683,5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49559,1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55831,0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62116,5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111058,6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133620,4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153142,0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173249,8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197784,8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225152,7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271840,4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519129,1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577601,3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667712,3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766116,4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874905,5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997290,8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1140175,0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69325,7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80561,7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97534,4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109736,1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125675,3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144684,9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160662,0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голу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Валовой выпуск оптовой и розничной торговли; ремонт автомобилей и мотоциклов (млн. сомов)</w:t>
            </w:r>
            <w:r>
              <w:rPr>
                <w:rFonts w:ascii="Arial" w:cs="Arial" w:eastAsia="Arial" w:hAnsi="Arial"/>
                <w:sz w:val="24"/>
                <w:szCs w:val="24"/>
              </w:rPr>
              <w:t xml:space="preserve">(3)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351715,1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415397,2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501461,40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589236,20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703406,3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824813,9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965431,2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17386,1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20350,1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33980,1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40132,6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48447,5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56927,6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67957,9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79687,4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93272,8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12392,2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14636,0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17668,4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20761,0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24783,6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29061,3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34015,8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5583,0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7919,5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12975,6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22894,2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27039,5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32641,7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38355,2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45786,9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53689,7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62842,9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8976,2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10601,4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12797,9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15038,0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17951,8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21050,3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24639,0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48050,6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56750,7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68508,7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80500,3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96098,0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112684,4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131895,3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186056,6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219744,3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265272,1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311704,8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372100,5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436324,9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510711,2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27224,3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32153,5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38815,3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45609,4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54446,7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63844,2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74728,6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Объем оказанных рыночных услуг (млн. сомов)</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1594511,8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1916645,6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2213907,5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2654992,1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3109256,2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3623519,0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4195403,1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29355,0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34715,2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39300,4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46082,3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52759,6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58678,4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66734,3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136699,9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164655,0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190799,0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228345,7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264853,6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306353,0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355665,1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46581,1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53964,7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60516,0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70292,6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79425,1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89984,6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104666,7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20803,3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25285,4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29489,2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35389,7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41502,2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48286,3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55436,1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82184,0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101150,4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121100,1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148664,3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177364,0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208346,8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241796,9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36351,0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43068,3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49446,7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58632,8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67316,9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77719,4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89029,9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175383,1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213745,5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253847,6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309950,2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367464,6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432178,8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492265,2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951808,0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1144283,9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1314972,9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1576038,5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1852215,6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2159498,6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2510910,1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115346,4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135777,1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154435,6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181595,9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206354,7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242473,2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278898,9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Оптовая и розничная торговля; ремонт автомобилей и мотоциклов (млн. сомов)</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1287491,7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1567160,9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1815719,9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2206786,9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2605890,1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3059620,5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3560741,0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23730,3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26310,9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29060,2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33424,7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38039,8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44066,5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50617,2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114512,8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131460,9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149382,2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179905,4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210134,7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251489,2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291023,6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38214,5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42654,0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47518,3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57332,7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67515,6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79904,5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94971,0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15298,0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16896,7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18734,0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22893,1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26788,2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31963,2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37749,3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75460,9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86629,3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98530,8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122473,9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141338,8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167677,6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195303,8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29010,0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33118,9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36790,4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44511,0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52083,4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61308,0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72404,7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160388,9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188597,8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218110,1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270629,0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333744,1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431297,3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504734,9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738258,5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939294,4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1102873,3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1342272,3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1583500,3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1810758,5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2104495,9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92617,8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102198,2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114720,6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133344,8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152745,2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181155,6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209440,7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Валовая продукция строительства (млн. сомов)</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197986,5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241440,2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278292,4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317023,7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3615993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409193,0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463236,2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7943,4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10489,9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12173,4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13505,6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29497,2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33971,2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38518,8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43226,4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48691,2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55020,3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63690,5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24780,8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31219,6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39436,3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50132,1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58759,0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65404,1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81328,9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w:t>
            </w:r>
            <w:r>
              <w:rPr>
                <w:rFonts w:ascii="Arial" w:cs="Arial" w:eastAsia="Arial" w:hAnsi="Arial"/>
                <w:sz w:val="24"/>
                <w:szCs w:val="24"/>
              </w:rPr>
              <w:t xml:space="preserve">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6531,8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7131,6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7982,6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8865,3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15896,5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18385,4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20484,1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22520,4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25162,5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30919,5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5155,5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6144,1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6788,3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8272,9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25806,8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33470,8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38959,5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46781,3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57538,4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69720,8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77816,3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70889,2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88418,0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99063,2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108322,5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121408,7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136382,7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150016,5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14927,0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17803,1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20809,4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22875,2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24726,2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26984,4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28820,7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Объем инвестиций в основной капитал (млн. сомов)</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168537,4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221716,0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263358,1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308814,5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357586,7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414002,0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487410,2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8513,0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10332,0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28990,4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37571,7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39568,9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45165,4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48006,6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58556,0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67382,7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28960,2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38575,6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44215,8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51640,4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65496,9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79604,3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89182,9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4497,7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5616,7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6579,5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7221,5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12162,4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13527,3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14903,1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16290,2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17688,9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20099,6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25522,5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5546,3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6460,0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6700,0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21778,0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27027,7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33248,0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40738,4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47787,8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54986,1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67536,9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52776,8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78996,1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102284,0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122732,8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142206,2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160293,6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189251,4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8678,5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12588,6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13734,3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16170,6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18156,9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24280,3</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Численность занятых в экономике, тыс. человек</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2838,7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Созданные рабочие места, единиц</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130624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136226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140825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144803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148348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151572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8467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8651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26494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34177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35142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36785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8618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35922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37601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38263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41251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42416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43455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44399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3939</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Уровень общей безработицы, %</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Среднемесячная оплата труда, сомов</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33258,0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35966,8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38336,9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40876,4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43585,2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46056,9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48765,7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26590,0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28366,1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30142,2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31918,3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33694,4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35470,5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37246,6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29688,0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32034,5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34481,0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37027,5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39674,0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42320,5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44967,0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40841,0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42836,1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45031,2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47426,3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50021,4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52616,5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55211,6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33645,0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35565,2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37585,4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39805,6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42225,8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44646,0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47066,2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23958,0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26043,3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28328,6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30713,9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33199,2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35684,5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38169,8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31177,0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33223,7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35470,4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37917,1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40463,8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43010,5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45557,2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27509,0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29688,4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32067,8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34647,2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37126,6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39606,0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42085,4</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40061,0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42684,2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45407,4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48330,6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51453,8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54577,0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57700,2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28189,0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30230,1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32471,2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34812,3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37253,4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39694,5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42135,6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Прожиточный минимум, сомов</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7681,5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8127,1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8639,1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9122,9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9588,1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10057,9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10570,9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7516,2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7735,3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8052,4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8366,5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8625,8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8893,2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9168,9</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7931,8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9358,0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10556,4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10947,0</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7893,9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8359,6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8760,9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9085,0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9421,2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9769,8</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7768,7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8221,6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8665,6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9064,2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10049,7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7215,6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7969,5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8423,8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8828,1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9146,0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9816,3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7129,7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8168,7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8536,3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8835,0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9144,3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9464,3</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8078,7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8915,2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9227,3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9550,2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9884,5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7901,1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8552,9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9474,4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9825,0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10188,5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10565,5</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7433,3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8340,3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8849,0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9273,8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9616,9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9972,7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10341,7</w:t>
            </w:r>
          </w:p>
        </w:tc>
      </w:tr>
      <w:tr>
        <w:tc>
          <w:tcPr>
            <w:tcW w:type="dxa" w:w="3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bl>
    <w:p>
      <w:pPr>
        <w:spacing w:after="60" w:before="120"/>
        <w:ind w:firstLine="567"/>
        <w:jc w:val="both"/>
      </w:pPr>
      <w:r>
        <w:rPr>
          <w:rFonts w:ascii="Arial" w:cs="Arial" w:eastAsia="Arial" w:hAnsi="Arial"/>
          <w:sz w:val="24"/>
          <w:szCs w:val="24"/>
        </w:rPr>
        <w:t xml:space="preserve">(1) Оценка Министерства экономики и коммерции Кыргызской Республики за 2023 год.</w:t>
      </w:r>
    </w:p>
    <w:p>
      <w:pPr>
        <w:spacing w:after="60"/>
        <w:ind w:firstLine="567"/>
        <w:jc w:val="both"/>
      </w:pPr>
      <w:r>
        <w:rPr>
          <w:rFonts w:ascii="Arial" w:cs="Arial" w:eastAsia="Arial" w:hAnsi="Arial"/>
          <w:sz w:val="24"/>
          <w:szCs w:val="24"/>
        </w:rPr>
        <w:t xml:space="preserve">(2) Оценка Министерства экономики и коммерции Кыргызской Республики за 2023 год.</w:t>
      </w:r>
    </w:p>
    <w:p>
      <w:pPr>
        <w:spacing w:after="60"/>
        <w:ind w:firstLine="567"/>
        <w:jc w:val="both"/>
      </w:pPr>
      <w:r>
        <w:rPr>
          <w:rFonts w:ascii="Arial" w:cs="Arial" w:eastAsia="Arial" w:hAnsi="Arial"/>
          <w:sz w:val="24"/>
          <w:szCs w:val="24"/>
        </w:rPr>
        <w:t xml:space="preserve">(3) Оценка Министерства экономики и коммерции Кыргызской Республики за 2023 год.</w:t>
      </w:r>
    </w:p>
    <w:p>
      <w:pPr>
        <w:spacing w:after="120" w:before="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mpvgeh3hpwrti8qygnjh">
      <w:r>
        <w:rPr>
          <w:rFonts w:ascii="Arial" w:cs="Arial" w:eastAsia="Arial" w:hAnsi="Arial"/>
          <w:color w:val="132D3F"/>
          <w:sz w:val="16"/>
          <w:szCs w:val="16"/>
          <w:u w:val="single"/>
        </w:rPr>
        <w:t xml:space="preserve">dalil.kg/document/230011355</w:t>
      </w:r>
    </w:hyperlink>
  </w:p>
  <w:p>
    <w:pPr>
      <w:spacing w:after="0" w:before="40"/>
      <w:jc w:val="center"/>
    </w:pPr>
    <w:hyperlink w:history="1" r:id="rIdcp88go_shnxqovygky4c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2k2anmkibrwkmkrj_h_6" Type="http://schemas.openxmlformats.org/officeDocument/2006/relationships/hyperlink" Target="https://dalil.kg/document/230033231" TargetMode="External"/><Relationship Id="rId-lzsixgtnua_rsma6_xxf" Type="http://schemas.openxmlformats.org/officeDocument/2006/relationships/hyperlink" Target="https://dalil.kg/document/111338#st_74" TargetMode="External"/><Relationship Id="rIdrn0i5grmiqak5bztpybrm" Type="http://schemas.openxmlformats.org/officeDocument/2006/relationships/hyperlink" Target="https://dalil.kg/document/112301#st_13" TargetMode="External"/><Relationship Id="rIdtskbrd0nmaielgaxk8dro" Type="http://schemas.openxmlformats.org/officeDocument/2006/relationships/hyperlink" Target="https://dalil.kg/document/112301#st_17" TargetMode="External"/><Relationship Id="rIdm32t-w9kvy6cdk_hce5xw" Type="http://schemas.openxmlformats.org/officeDocument/2006/relationships/hyperlink" Target="https://dalil.kg/document/430381" TargetMode="External"/><Relationship Id="rIdsuf3ze3hlo2np1iyuvx3c" Type="http://schemas.openxmlformats.org/officeDocument/2006/relationships/hyperlink" Target="https://dalil.kg/document/219019" TargetMode="External"/><Relationship Id="rIdyxvxaa_pufh2rzikhtciv" Type="http://schemas.openxmlformats.org/officeDocument/2006/relationships/hyperlink" Target="https://dalil.kg/document/430002" TargetMode="External"/><Relationship Id="rIdpy00gemrwye815fon701o" Type="http://schemas.openxmlformats.org/officeDocument/2006/relationships/hyperlink" Target="https://dalil.kg/document/158852" TargetMode="External"/><Relationship Id="rIdek9jx-qinvl1tgjqjaicf" Type="http://schemas.openxmlformats.org/officeDocument/2006/relationships/hyperlink" Target="https://dalil.kg/document/98725" TargetMode="External"/><Relationship Id="rId-jf9ge6yjo4d63bdky5fa" Type="http://schemas.openxmlformats.org/officeDocument/2006/relationships/hyperlink" Target="https://dalil.kg/document/98725#pr" TargetMode="External"/><Relationship Id="rIdnrwgr8buzgxgvts-m7zfn" Type="http://schemas.openxmlformats.org/officeDocument/2006/relationships/hyperlink" Target="https://dalil.kg/document/159443" TargetMode="External"/><Relationship Id="rIdgkh-qxulypgbvetl3ptoe" Type="http://schemas.openxmlformats.org/officeDocument/2006/relationships/hyperlink" Target="https://dalil.kg/document/159443" TargetMode="External"/><Relationship Id="rId-aq4jqj---dcomwqcr4ag" Type="http://schemas.openxmlformats.org/officeDocument/2006/relationships/hyperlink" Target="https://dalil.kg/document/159281" TargetMode="External"/><Relationship Id="rId3aqskxlcg_nkcrkiomp7i" Type="http://schemas.openxmlformats.org/officeDocument/2006/relationships/hyperlink" Target="https://dalil.kg/document/159282" TargetMode="External"/><Relationship Id="rIdoxym6rv4k0phli4s-fhnz" Type="http://schemas.openxmlformats.org/officeDocument/2006/relationships/hyperlink" Target="https://dalil.kg/document/430877" TargetMode="External"/><Relationship Id="rIdw_5hlvikaudzdltprjznp" Type="http://schemas.openxmlformats.org/officeDocument/2006/relationships/hyperlink" Target="https://dalil.kg/document/430879" TargetMode="External"/><Relationship Id="rIdyyrwlheoa2vv4nu5dhjnd" Type="http://schemas.openxmlformats.org/officeDocument/2006/relationships/hyperlink" Target="https://dalil.kg/document/112298" TargetMode="External"/><Relationship Id="rIdw2gze4f1ozflvnqa_lz2-" Type="http://schemas.openxmlformats.org/officeDocument/2006/relationships/hyperlink" Target="https://dalil.kg/document/159858" TargetMode="External"/><Relationship Id="rIdzlhglo2jhu3bxrgwwrwmn" Type="http://schemas.openxmlformats.org/officeDocument/2006/relationships/hyperlink" Target="https://dalil.kg/document/159859" TargetMode="External"/><Relationship Id="rIdvpqotw-2zxhsdyfedprl2" Type="http://schemas.openxmlformats.org/officeDocument/2006/relationships/hyperlink" Target="https://dalil.kg/document/158930" TargetMode="External"/><Relationship Id="rId49k_rdxw-wwgye1fhp22p" Type="http://schemas.openxmlformats.org/officeDocument/2006/relationships/hyperlink" Target="https://dalil.kg/document/158931" TargetMode="External"/><Relationship Id="rIdcdanmazlrvgeby_yxvyjs" Type="http://schemas.openxmlformats.org/officeDocument/2006/relationships/hyperlink" Target="https://dalil.kg/document/430880" TargetMode="External"/><Relationship Id="rIdtpts5-cd1c4f5wstwtzcw" Type="http://schemas.openxmlformats.org/officeDocument/2006/relationships/hyperlink" Target="https://dalil.kg/document/430338" TargetMode="External"/><Relationship Id="rId3bhdrtwoeayyygfjtoo4b" Type="http://schemas.openxmlformats.org/officeDocument/2006/relationships/hyperlink" Target="https://dalil.kg/document/430984" TargetMode="External"/><Relationship Id="rIda8njx7gp7twzfeis9odnr" Type="http://schemas.openxmlformats.org/officeDocument/2006/relationships/hyperlink" Target="https://dalil.kg/document/160027" TargetMode="External"/><Relationship Id="rIdcerv2fh49mauvksunosm5" Type="http://schemas.openxmlformats.org/officeDocument/2006/relationships/hyperlink" Target="https://dalil.kg/document/160028" TargetMode="External"/><Relationship Id="rIdzjzm5enbbz21gmn3ayg2k" Type="http://schemas.openxmlformats.org/officeDocument/2006/relationships/hyperlink" Target="https://dalil.kg/document/430381" TargetMode="External"/><Relationship Id="rId-aiik0bxwaqwahhaeuucc" Type="http://schemas.openxmlformats.org/officeDocument/2006/relationships/hyperlink" Target="https://dalil.kg/document/430002" TargetMode="External"/><Relationship Id="rIdqy7v4pvhjzcn2tf1slu-q" Type="http://schemas.openxmlformats.org/officeDocument/2006/relationships/hyperlink" Target="https://dalil.kg/document/430700" TargetMode="External"/><Relationship Id="rIdk3fxkfwx8a60mlkj5s1qh" Type="http://schemas.openxmlformats.org/officeDocument/2006/relationships/hyperlink" Target="https://dalil.kg/document/430699" TargetMode="External"/><Relationship Id="rIdw0nlbnbazjmrmdjokt9yx" Type="http://schemas.openxmlformats.org/officeDocument/2006/relationships/hyperlink" Target="https://dalil.kg/document/430700" TargetMode="External"/><Relationship Id="rIdp_qhy1x6p2yosl-vts9d5" Type="http://schemas.openxmlformats.org/officeDocument/2006/relationships/hyperlink" Target="https://dalil.kg/document/100162" TargetMode="External"/><Relationship Id="rIdwuub6_jsh42xbxwi-x6th" Type="http://schemas.openxmlformats.org/officeDocument/2006/relationships/hyperlink" Target="https://dalil.kg/document/100162#pr" TargetMode="External"/><Relationship Id="rIdfnr0ko1y7veqvoxybnrye" Type="http://schemas.openxmlformats.org/officeDocument/2006/relationships/hyperlink" Target="https://dalil.kg/document/160373" TargetMode="External"/><Relationship Id="rId-egu2dbdxautqchzpu7q4" Type="http://schemas.openxmlformats.org/officeDocument/2006/relationships/hyperlink" Target="https://dalil.kg/document/160374" TargetMode="External"/><Relationship Id="rIdxjgkd-iuzjjfpo53gfs3g" Type="http://schemas.openxmlformats.org/officeDocument/2006/relationships/hyperlink" Target="https://dalil.kg/document/219019" TargetMode="External"/><Relationship Id="rIdk_ymjnh_sb2tbt5y4hbul" Type="http://schemas.openxmlformats.org/officeDocument/2006/relationships/hyperlink" Target="https://dalil.kg/document/430002" TargetMode="External"/><Relationship Id="rIdopjy56mudzv4b1qy-kjhn" Type="http://schemas.openxmlformats.org/officeDocument/2006/relationships/hyperlink" Target="https://dalil.kg/document/430700" TargetMode="External"/><Relationship Id="rIduauect-tofxzv0h7ugw5t" Type="http://schemas.openxmlformats.org/officeDocument/2006/relationships/hyperlink" Target="https://dalil.kg/document/430699" TargetMode="External"/><Relationship Id="rIdbmuu9lzguxidlstzhpfkq" Type="http://schemas.openxmlformats.org/officeDocument/2006/relationships/hyperlink" Target="https://dalil.kg/document/430700" TargetMode="External"/><Relationship Id="rIdmpofmxnl2nykxwyszvwu_" Type="http://schemas.openxmlformats.org/officeDocument/2006/relationships/hyperlink" Target="https://dalil.kg/document/157430" TargetMode="External"/><Relationship Id="rIdq0ea-t3n7oazguym9v1mu" Type="http://schemas.openxmlformats.org/officeDocument/2006/relationships/hyperlink" Target="https://dalil.kg/document/157432" TargetMode="External"/><Relationship Id="rIdawcghhtr_v78pdtpkmno1" Type="http://schemas.openxmlformats.org/officeDocument/2006/relationships/hyperlink" Target="https://dalil.kg/document/430002" TargetMode="External"/><Relationship Id="rIdokhep0xqzam3wcmnx75dd" Type="http://schemas.openxmlformats.org/officeDocument/2006/relationships/hyperlink" Target="https://dalil.kg/document/430700" TargetMode="External"/><Relationship Id="rIdpkecxesyizd0euzub0isz" Type="http://schemas.openxmlformats.org/officeDocument/2006/relationships/hyperlink" Target="https://dalil.kg/document/430699" TargetMode="External"/><Relationship Id="rIdcx0uuwoyapn_84brmk-r8" Type="http://schemas.openxmlformats.org/officeDocument/2006/relationships/hyperlink" Target="https://dalil.kg/document/430700" TargetMode="External"/><Relationship Id="rIdk4lhcib5-pgqcgpfnfeqb" Type="http://schemas.openxmlformats.org/officeDocument/2006/relationships/hyperlink" Target="https://dalil.kg/document/159827" TargetMode="External"/><Relationship Id="rId48di3dxavhzq9cq6ruklx" Type="http://schemas.openxmlformats.org/officeDocument/2006/relationships/hyperlink" Target="https://dalil.kg/document/159870" TargetMode="External"/><Relationship Id="rIdrcalhfvn_hyxy8os2z2pn" Type="http://schemas.openxmlformats.org/officeDocument/2006/relationships/hyperlink" Target="https://dalil.kg/document/430271" TargetMode="External"/><Relationship Id="rId2f1tj01frp4ppcesf7f4o" Type="http://schemas.openxmlformats.org/officeDocument/2006/relationships/hyperlink" Target="https://dalil.kg/document/430822" TargetMode="External"/><Relationship Id="rId50t8gz43ckzvu7zmrlqky" Type="http://schemas.openxmlformats.org/officeDocument/2006/relationships/hyperlink" Target="https://dalil.kg/document/159198" TargetMode="External"/><Relationship Id="rIdt0eimmkyywzdx-srtt3x5" Type="http://schemas.openxmlformats.org/officeDocument/2006/relationships/hyperlink" Target="https://dalil.kg/document/160490" TargetMode="External"/><Relationship Id="rId4grapwtt6rznyga0e9ah7" Type="http://schemas.openxmlformats.org/officeDocument/2006/relationships/hyperlink" Target="https://dalil.kg/document/159686" TargetMode="External"/><Relationship Id="rIdwkck5sgyqziwobavzzuqc" Type="http://schemas.openxmlformats.org/officeDocument/2006/relationships/hyperlink" Target="https://dalil.kg/document/159870" TargetMode="External"/><Relationship Id="rIdv_2fho8frxlqbprdjfy6h" Type="http://schemas.openxmlformats.org/officeDocument/2006/relationships/hyperlink" Target="https://dalil.kg/document/159827" TargetMode="External"/><Relationship Id="rIdgvonivr8keoiqfhf09bcm" Type="http://schemas.openxmlformats.org/officeDocument/2006/relationships/hyperlink" Target="https://dalil.kg/document/112510" TargetMode="External"/><Relationship Id="rId4rky5h2-28cdxz8dlyzvf" Type="http://schemas.openxmlformats.org/officeDocument/2006/relationships/hyperlink" Target="https://dalil.kg/document/1154" TargetMode="External"/><Relationship Id="rIdetfcotegw3bvlaxgv_2bq" Type="http://schemas.openxmlformats.org/officeDocument/2006/relationships/hyperlink" Target="https://dalil.kg/document/158720" TargetMode="External"/><Relationship Id="rIdvq3ad0toj227e1u11dxz4" Type="http://schemas.openxmlformats.org/officeDocument/2006/relationships/hyperlink" Target="https://dalil.kg/document/160450" TargetMode="External"/><Relationship Id="rIdff2ofw7hwyenjk0f1a94g" Type="http://schemas.openxmlformats.org/officeDocument/2006/relationships/hyperlink" Target="https://dalil.kg/document/430700" TargetMode="External"/><Relationship Id="rIdi6xg7uczdvcvs97lsj-ve" Type="http://schemas.openxmlformats.org/officeDocument/2006/relationships/hyperlink" Target="https://dalil.kg/document/430699" TargetMode="External"/><Relationship Id="rIdcpc3gctooy07kiozjkg_d" Type="http://schemas.openxmlformats.org/officeDocument/2006/relationships/hyperlink" Target="https://dalil.kg/document/434830" TargetMode="External"/><Relationship Id="rIdwssubqhnbaphuk9x8s5uw" Type="http://schemas.openxmlformats.org/officeDocument/2006/relationships/hyperlink" Target="https://dalil.kg/document/88260" TargetMode="External"/><Relationship Id="rIdvqvvwl9bis-7fpe6wvk16" Type="http://schemas.openxmlformats.org/officeDocument/2006/relationships/hyperlink" Target="https://dalil.kg/document/160038" TargetMode="External"/><Relationship Id="rIdjuxyldstr6szpj_gy1ylz" Type="http://schemas.openxmlformats.org/officeDocument/2006/relationships/hyperlink" Target="https://dalil.kg/document/160037" TargetMode="External"/><Relationship Id="rIduikrchqti8kp1wbecuvta" Type="http://schemas.openxmlformats.org/officeDocument/2006/relationships/hyperlink" Target="https://dalil.kg/document/160038" TargetMode="External"/><Relationship Id="rIdiej9kxxseckqxx2k6pxfg" Type="http://schemas.openxmlformats.org/officeDocument/2006/relationships/hyperlink" Target="https://dalil.kg/document/112298" TargetMode="External"/><Relationship Id="rIdjpfb9etc0h18i-pg3ktcp" Type="http://schemas.openxmlformats.org/officeDocument/2006/relationships/hyperlink" Target="https://dalil.kg/document/434811" TargetMode="External"/><Relationship Id="rIdwrrqeu6pboaw7x66287qq" Type="http://schemas.openxmlformats.org/officeDocument/2006/relationships/hyperlink" Target="https://dalil.kg/document/434875" TargetMode="External"/><Relationship Id="rIdzmjarfo8ek_5rn1lrt4ns" Type="http://schemas.openxmlformats.org/officeDocument/2006/relationships/hyperlink" Target="https://dalil.kg/document/434926" TargetMode="External"/><Relationship Id="rIdlgzm1w1zdd6qfadwmlms1" Type="http://schemas.openxmlformats.org/officeDocument/2006/relationships/hyperlink" Target="https://dalil.kg/document/435172" TargetMode="External"/><Relationship Id="rId7cbe3u7uqcmqj2pscgzf1" Type="http://schemas.openxmlformats.org/officeDocument/2006/relationships/hyperlink" Target="https://dalil.kg/document/160091" TargetMode="External"/><Relationship Id="rIdatuubo53x8vplcgexyuvj" Type="http://schemas.openxmlformats.org/officeDocument/2006/relationships/hyperlink" Target="https://dalil.kg/document/434875" TargetMode="External"/><Relationship Id="rIdpzwrdom38mrht-5oohrdm" Type="http://schemas.openxmlformats.org/officeDocument/2006/relationships/hyperlink" Target="https://dalil.kg/document/12976" TargetMode="External"/><Relationship Id="rId9kk3jre3pghnlerhhriw1" Type="http://schemas.openxmlformats.org/officeDocument/2006/relationships/hyperlink" Target="https://dalil.kg/document/12975" TargetMode="External"/><Relationship Id="rIdsigwveoakrulco0kfpv6d" Type="http://schemas.openxmlformats.org/officeDocument/2006/relationships/hyperlink" Target="https://dalil.kg/document/12976" TargetMode="External"/><Relationship Id="rId004dcli6zywrtidioew9p" Type="http://schemas.openxmlformats.org/officeDocument/2006/relationships/hyperlink" Target="https://dalil.kg/document/158227" TargetMode="External"/><Relationship Id="rIdo-_zckopuwofldhcswjuj" Type="http://schemas.openxmlformats.org/officeDocument/2006/relationships/hyperlink" Target="https://dalil.kg/document/158226" TargetMode="External"/><Relationship Id="rIdovl43wfktjkpgveft34x4" Type="http://schemas.openxmlformats.org/officeDocument/2006/relationships/hyperlink" Target="https://dalil.kg/document/158227" TargetMode="External"/><Relationship Id="rId8" Type="http://schemas.openxmlformats.org/officeDocument/2006/relationships/image" Target="media/8de64316e95979c063c17bcd5380dc052a2594e9.png"/><Relationship Id="rId8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mpvgeh3hpwrti8qygnjh" Type="http://schemas.openxmlformats.org/officeDocument/2006/relationships/hyperlink" Target="https://dalil.kg/document/230011355" TargetMode="External"/><Relationship Id="rIdcp88go_shnxqovygky4c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2026-09-25T19:47:09.320Z</dcterms:created>
  <dcterms:modified xsi:type="dcterms:W3CDTF">2026-09-25T19:47:09.320Z</dcterms:modified>
</cp:coreProperties>
</file>

<file path=docProps/custom.xml><?xml version="1.0" encoding="utf-8"?>
<Properties xmlns="http://schemas.openxmlformats.org/officeDocument/2006/custom-properties" xmlns:vt="http://schemas.openxmlformats.org/officeDocument/2006/docPropsVTypes"/>
</file>