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r>
        <w:rPr>
          <w:rFonts w:ascii="Arial" w:cs="Arial" w:eastAsia="Arial" w:hAnsi="Arial"/>
          <w:sz w:val="32"/>
          <w:szCs w:val="32"/>
        </w:rPr>
        <w:t xml:space="preserve"> </w:t>
      </w:r>
    </w:p>
    <w:p>
      <w:pPr>
        <w:spacing w:after="240"/>
        <w:jc w:val="both"/>
      </w:pPr>
      <w:r>
        <w:rPr>
          <w:rFonts w:ascii="Arial" w:cs="Arial" w:eastAsia="Arial" w:hAnsi="Arial"/>
          <w:sz w:val="24"/>
          <w:szCs w:val="24"/>
        </w:rPr>
        <w:t xml:space="preserve">от 25 июля 2024 года № 423</w:t>
      </w:r>
    </w:p>
    <w:p>
      <w:pPr>
        <w:spacing w:after="400" w:before="400"/>
        <w:jc w:val="center"/>
      </w:pPr>
      <w:r>
        <w:rPr>
          <w:rFonts w:ascii="Arial" w:cs="Arial" w:eastAsia="Arial" w:hAnsi="Arial"/>
          <w:b/>
          <w:bCs/>
          <w:sz w:val="28"/>
          <w:szCs w:val="28"/>
        </w:rPr>
        <w:t xml:space="preserve">О некоторых вопросах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0dxtxey5hlao38bh3nc_">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uiyz0frwmceczcjcniij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институте стратегических инициатив при Президенте Кыргызской Республики" от 12 апреля 2024 года № 94, в соответствии со </w:t>
      </w:r>
      <w:hyperlink w:history="1" r:id="rIdxo9nsf6gu0ks_avskfgdd">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zgymn6krmgd6gknvtfch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xhnmjh7lbmdci5mkp5u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Установить минимальную базовую ставку в размере 7040 сомов, являющуюся основанием для расчета должностных окладов сотрудников Национального института стратегических инициатив при Президенте Кыргызской Республики.</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1) коэффициенты кратности к должностным окладам,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 согласно </w:t>
      </w:r>
      <w:hyperlink w:history="1" r:id="rId8zpvawredcqqdsointqo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размеры процентных надбавок за выслугу лет к должностным окладам сотрудников Национального института стратегических инициатив при Президенте Кыргызской Республики согласно </w:t>
      </w:r>
      <w:hyperlink w:history="1" r:id="rIdpd4kfuds7uc2infpn9sm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Установить, что сотрудникам Национального института стратегических инициатив при Президенте Кыргызской Республики выплачиваются:</w:t>
      </w:r>
    </w:p>
    <w:p>
      <w:pPr>
        <w:spacing w:after="60"/>
        <w:ind w:firstLine="567"/>
        <w:jc w:val="both"/>
      </w:pPr>
      <w:r>
        <w:rPr>
          <w:rFonts w:ascii="Arial" w:cs="Arial" w:eastAsia="Arial" w:hAnsi="Arial"/>
          <w:sz w:val="24"/>
          <w:szCs w:val="24"/>
        </w:rPr>
        <w:t xml:space="preserve">1) надбавка за ученую степень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процентная надбавка за сложность, качество, результаты труда, проявление профессиональной инициативы, ненормированный режим работы до 50% к должностному окладу;</w:t>
      </w:r>
    </w:p>
    <w:p>
      <w:pPr>
        <w:spacing w:after="60"/>
        <w:ind w:firstLine="567"/>
        <w:jc w:val="both"/>
      </w:pPr>
      <w:r>
        <w:rPr>
          <w:rFonts w:ascii="Arial" w:cs="Arial" w:eastAsia="Arial" w:hAnsi="Arial"/>
          <w:sz w:val="24"/>
          <w:szCs w:val="24"/>
        </w:rPr>
        <w:t xml:space="preserve">3) процентная надбавка за выполнение особо важных и ответственных работ </w:t>
      </w:r>
      <w:r>
        <w:rPr>
          <w:rFonts w:ascii="Arial" w:cs="Arial" w:eastAsia="Arial" w:hAnsi="Arial"/>
          <w:sz w:val="24"/>
          <w:szCs w:val="24"/>
        </w:rPr>
        <w:t xml:space="preserve">в размере 100 %</w:t>
      </w:r>
      <w:r>
        <w:rPr>
          <w:rFonts w:ascii="Arial" w:cs="Arial" w:eastAsia="Arial" w:hAnsi="Arial"/>
          <w:sz w:val="24"/>
          <w:szCs w:val="24"/>
        </w:rPr>
        <w:t xml:space="preserve"> к должностному окладу;</w:t>
      </w:r>
    </w:p>
    <w:p>
      <w:pPr>
        <w:spacing w:after="60"/>
        <w:ind w:firstLine="567"/>
        <w:jc w:val="both"/>
      </w:pPr>
      <w:r>
        <w:rPr>
          <w:rFonts w:ascii="Arial" w:cs="Arial" w:eastAsia="Arial" w:hAnsi="Arial"/>
          <w:sz w:val="24"/>
          <w:szCs w:val="24"/>
        </w:rPr>
        <w:t xml:space="preserve">4) при выходе в отпуск пособие на оздоровление в размере двухмесячного фонда заработной платы.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mzomns2povrpexbtuhlg">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Условия оплаты труда технического обслуживающего персонала и младшего обслуживающего персонала регулируются согласно </w:t>
      </w:r>
      <w:hyperlink w:history="1" r:id="rIdmaaknpjhw9qrorchfbdez">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Кабинета Министров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1 августа 2022 года № 433.</w:t>
      </w:r>
    </w:p>
    <w:p>
      <w:pPr>
        <w:spacing w:after="60"/>
        <w:ind w:firstLine="567"/>
        <w:jc w:val="both"/>
      </w:pPr>
      <w:r>
        <w:rPr>
          <w:rFonts w:ascii="Arial" w:cs="Arial" w:eastAsia="Arial" w:hAnsi="Arial"/>
          <w:sz w:val="24"/>
          <w:szCs w:val="24"/>
        </w:rPr>
        <w:t xml:space="preserve">5. Внести в </w:t>
      </w:r>
      <w:hyperlink w:history="1" r:id="rIdeiqk5lrzwfbr_rnpvb3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60"/>
        <w:ind w:firstLine="567"/>
        <w:jc w:val="both"/>
      </w:pPr>
      <w:r>
        <w:rPr>
          <w:rFonts w:ascii="Arial" w:cs="Arial" w:eastAsia="Arial" w:hAnsi="Arial"/>
          <w:sz w:val="24"/>
          <w:szCs w:val="24"/>
        </w:rPr>
        <w:t xml:space="preserve">1) в </w:t>
      </w:r>
      <w:hyperlink w:history="1" r:id="rId9lgpx6ckhhjwzpz9wxu4c">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пункты 21, 22 признать утратившими силу;</w:t>
      </w:r>
    </w:p>
    <w:p>
      <w:pPr>
        <w:spacing w:after="60"/>
        <w:ind w:firstLine="567"/>
        <w:jc w:val="both"/>
      </w:pPr>
      <w:r>
        <w:rPr>
          <w:rFonts w:ascii="Arial" w:cs="Arial" w:eastAsia="Arial" w:hAnsi="Arial"/>
          <w:sz w:val="24"/>
          <w:szCs w:val="24"/>
        </w:rPr>
        <w:t xml:space="preserve">2) в </w:t>
      </w:r>
      <w:hyperlink w:history="1" r:id="rIdyoxnr0ica4pg_qcokb62g">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8938"/>
        <w:gridCol w:w="457"/>
        <w:gridCol w:w="326"/>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w:t>
      </w:r>
      <w:hyperlink w:history="1" r:id="rIddlone2cnp_vr1zp_0kdyr">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23 слово "исследований" заменить словом "инициатив";</w:t>
      </w:r>
    </w:p>
    <w:p>
      <w:pPr>
        <w:spacing w:after="60"/>
        <w:ind w:firstLine="567"/>
        <w:jc w:val="both"/>
      </w:pPr>
      <w:r>
        <w:rPr>
          <w:rFonts w:ascii="Arial" w:cs="Arial" w:eastAsia="Arial" w:hAnsi="Arial"/>
          <w:sz w:val="24"/>
          <w:szCs w:val="24"/>
        </w:rPr>
        <w:t xml:space="preserve">- в пункте 24 слова ", Институт исследований экономической политики Кыргызской Республики" исключить.</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 </w:t>
      </w:r>
      <w:hyperlink w:history="1" r:id="rId-yptuq37hocuejrrkz9uc">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Временного Правительства Кыргызской Республики "О Национальном институте стратегических исследований Кыргызской Республики" от 2 июля 2010 года № 114;</w:t>
      </w:r>
    </w:p>
    <w:p>
      <w:pPr>
        <w:spacing w:after="60"/>
        <w:ind w:firstLine="567"/>
        <w:jc w:val="both"/>
      </w:pPr>
      <w:r>
        <w:rPr>
          <w:rFonts w:ascii="Arial" w:cs="Arial" w:eastAsia="Arial" w:hAnsi="Arial"/>
          <w:sz w:val="24"/>
          <w:szCs w:val="24"/>
        </w:rPr>
        <w:t xml:space="preserve">2) </w:t>
      </w:r>
      <w:hyperlink w:history="1" r:id="rIdbxmohc_rr9xwrl8d7ef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Института исследований экономической политики Кыргызской Республики" от 30 мая 2019 года № 238;</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Института исследований экономической политики при Министерстве экономики и финансов Кыргызской Республики" от 30 июля 2021 года № 100.</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июля 2024 года № 57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neulhvn1aqbgplggebpv">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6597"/>
        <w:gridCol w:w="2759"/>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7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эксперт</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менеджер-бухгалтер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Юрист-менеджер по кадровым вопросам</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w:t>
      </w:r>
    </w:p>
    <w:p>
      <w:pPr>
        <w:spacing w:after="240" w:before="200"/>
        <w:jc w:val="center"/>
      </w:pPr>
      <w:r>
        <w:rPr>
          <w:rFonts w:ascii="Arial" w:cs="Arial" w:eastAsia="Arial" w:hAnsi="Arial"/>
          <w:b/>
          <w:bCs/>
          <w:sz w:val="32"/>
          <w:szCs w:val="32"/>
        </w:rPr>
        <w:t xml:space="preserve">процентных надбавок за выслугу лет к должностным окладам сотрудников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2365"/>
        <w:gridCol w:w="7177"/>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Стаж работы</w:t>
            </w:r>
          </w:p>
        </w:tc>
        <w:tc>
          <w:tcPr>
            <w:tcW w:type="dxa" w:w="7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процентных надбавок за выслугу лет</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Надбавки за выслугу лет устанавливаются за стаж работы в государственных органах, а также в подведомственных учреждениях, организациях и предприятиях центральных органов государственного управления, министерств, комитетов, административных ведомств.</w:t>
      </w:r>
    </w:p>
    <w:p>
      <w:pPr>
        <w:spacing w:after="60"/>
        <w:ind w:firstLine="567"/>
        <w:jc w:val="both"/>
      </w:pPr>
      <w:r>
        <w:rPr>
          <w:rFonts w:ascii="Arial" w:cs="Arial" w:eastAsia="Arial" w:hAnsi="Arial"/>
          <w:sz w:val="24"/>
          <w:szCs w:val="24"/>
        </w:rPr>
        <w:t xml:space="preserve">2. Надбавки за выслугу лет начисляются на должностной оклад без учета других надбавок и доплат.</w:t>
      </w:r>
    </w:p>
    <w:p>
      <w:pPr>
        <w:spacing w:after="60"/>
        <w:ind w:firstLine="567"/>
        <w:jc w:val="both"/>
      </w:pPr>
      <w:r>
        <w:rPr>
          <w:rFonts w:ascii="Arial" w:cs="Arial" w:eastAsia="Arial" w:hAnsi="Arial"/>
          <w:sz w:val="24"/>
          <w:szCs w:val="24"/>
        </w:rPr>
        <w:t xml:space="preserve">3. Стаж работы для выплаты ежемесячной надбавки за выслугу лет определятся комиссией по установлению трудового стажа. Состав комиссии по установлению трудового стажа утверждается директором Национального института стратегических инициатив при Президенте Кыргызской Республики.</w:t>
      </w:r>
    </w:p>
    <w:p>
      <w:pPr>
        <w:spacing w:after="60"/>
        <w:ind w:firstLine="567"/>
        <w:jc w:val="both"/>
      </w:pPr>
      <w:r>
        <w:rPr>
          <w:rFonts w:ascii="Arial" w:cs="Arial" w:eastAsia="Arial" w:hAnsi="Arial"/>
          <w:sz w:val="24"/>
          <w:szCs w:val="24"/>
        </w:rPr>
        <w:t xml:space="preserve">4. Комиссия по установлению трудового стажа вправе, в исключительных случаях, с целью привлечения квалифицированных кадров принять решение о включении периода работы по профессии в стаж работы для начисления надбавки за выслугу лет.</w:t>
      </w:r>
    </w:p>
    <w:p>
      <w:pPr>
        <w:spacing w:after="60"/>
        <w:ind w:firstLine="567"/>
        <w:jc w:val="both"/>
      </w:pPr>
      <w:r>
        <w:rPr>
          <w:rFonts w:ascii="Arial" w:cs="Arial" w:eastAsia="Arial" w:hAnsi="Arial"/>
          <w:sz w:val="24"/>
          <w:szCs w:val="24"/>
        </w:rPr>
        <w:t xml:space="preserve">5. Выплата надбавок за выслугу лет производится ежемесячно, дифференцированно, в зависимости от стажа работы, дающего права на получение этой надбавки.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waq26vibdym4amn74d2">
      <w:r>
        <w:rPr>
          <w:rFonts w:ascii="Arial" w:cs="Arial" w:eastAsia="Arial" w:hAnsi="Arial"/>
          <w:color w:val="132D3F"/>
          <w:sz w:val="16"/>
          <w:szCs w:val="16"/>
          <w:u w:val="single"/>
        </w:rPr>
        <w:t xml:space="preserve">dalil.kg/document/230011474</w:t>
      </w:r>
    </w:hyperlink>
  </w:p>
  <w:p>
    <w:pPr>
      <w:spacing w:after="0" w:before="40"/>
      <w:jc w:val="center"/>
    </w:pPr>
    <w:hyperlink w:history="1" r:id="rId2oplmst6175soxim7pk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0dxtxey5hlao38bh3nc_" Type="http://schemas.openxmlformats.org/officeDocument/2006/relationships/hyperlink" Target="https://dalil.kg/document/230046884" TargetMode="External"/><Relationship Id="rIduiyz0frwmceczcjcniijz" Type="http://schemas.openxmlformats.org/officeDocument/2006/relationships/hyperlink" Target="https://dalil.kg/document/230004347" TargetMode="External"/><Relationship Id="rIdxo9nsf6gu0ks_avskfgdd" Type="http://schemas.openxmlformats.org/officeDocument/2006/relationships/hyperlink" Target="https://dalil.kg/document/203289#st_1" TargetMode="External"/><Relationship Id="rIdzgymn6krmgd6gknvtfchw" Type="http://schemas.openxmlformats.org/officeDocument/2006/relationships/hyperlink" Target="https://dalil.kg/document/112301#st_13" TargetMode="External"/><Relationship Id="rIdoxhnmjh7lbmdci5mkp5uv" Type="http://schemas.openxmlformats.org/officeDocument/2006/relationships/hyperlink" Target="https://dalil.kg/document/112301#st_17" TargetMode="External"/><Relationship Id="rId8zpvawredcqqdsointqor" Type="http://schemas.openxmlformats.org/officeDocument/2006/relationships/hyperlink" Target="https://dalil.kg/document/230011474#pr1" TargetMode="External"/><Relationship Id="rIdpd4kfuds7uc2infpn9smh" Type="http://schemas.openxmlformats.org/officeDocument/2006/relationships/hyperlink" Target="https://dalil.kg/document/230011474#pr2" TargetMode="External"/><Relationship Id="rId6mzomns2povrpexbtuhlg" Type="http://schemas.openxmlformats.org/officeDocument/2006/relationships/hyperlink" Target="https://dalil.kg/document/230046884" TargetMode="External"/><Relationship Id="rIdmaaknpjhw9qrorchfbdez" Type="http://schemas.openxmlformats.org/officeDocument/2006/relationships/hyperlink" Target="https://dalil.kg/document/159369" TargetMode="External"/><Relationship Id="rIdeiqk5lrzwfbr_rnpvb3pt" Type="http://schemas.openxmlformats.org/officeDocument/2006/relationships/hyperlink" Target="https://dalil.kg/document/158720" TargetMode="External"/><Relationship Id="rId9lgpx6ckhhjwzpz9wxu4c" Type="http://schemas.openxmlformats.org/officeDocument/2006/relationships/hyperlink" Target="https://dalil.kg/document/158720" TargetMode="External"/><Relationship Id="rIdyoxnr0ica4pg_qcokb62g" Type="http://schemas.openxmlformats.org/officeDocument/2006/relationships/hyperlink" Target="https://dalil.kg/document/158720" TargetMode="External"/><Relationship Id="rIddlone2cnp_vr1zp_0kdyr" Type="http://schemas.openxmlformats.org/officeDocument/2006/relationships/hyperlink" Target="https://dalil.kg/document/158720" TargetMode="External"/><Relationship Id="rId-yptuq37hocuejrrkz9uc" Type="http://schemas.openxmlformats.org/officeDocument/2006/relationships/hyperlink" Target="https://dalil.kg/document/92422" TargetMode="External"/><Relationship Id="rIdbxmohc_rr9xwrl8d7efsx" Type="http://schemas.openxmlformats.org/officeDocument/2006/relationships/hyperlink" Target="https://dalil.kg/document/14135" TargetMode="External"/><Relationship Id="rIdpneulhvn1aqbgplggebpv" Type="http://schemas.openxmlformats.org/officeDocument/2006/relationships/hyperlink" Target="https://dalil.kg/document/23004688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waq26vibdym4amn74d2" Type="http://schemas.openxmlformats.org/officeDocument/2006/relationships/hyperlink" Target="https://dalil.kg/document/230011474" TargetMode="External"/><Relationship Id="rId2oplmst6175soxim7pk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2026-09-24T16:34:35.556Z</dcterms:created>
  <dcterms:modified xsi:type="dcterms:W3CDTF">2026-09-24T16:34:35.556Z</dcterms:modified>
</cp:coreProperties>
</file>

<file path=docProps/custom.xml><?xml version="1.0" encoding="utf-8"?>
<Properties xmlns="http://schemas.openxmlformats.org/officeDocument/2006/custom-properties" xmlns:vt="http://schemas.openxmlformats.org/officeDocument/2006/docPropsVTypes"/>
</file>