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  <Override ContentType="application/vnd.openxmlformats-officedocument.wordprocessingml.footer+xml" PartName="/word/footer1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tbl>
      <w:tblPr>
        <w:tblW w:type="dxa" w:w="10178"/>
        <w:tblBorders>
          <w:top w:val="none" w:color="auto" w:sz="0"/>
          <w:left w:val="none" w:color="auto" w:sz="0"/>
          <w:bottom w:val="none" w:color="auto" w:sz="0"/>
          <w:right w:val="none" w:color="auto" w:sz="0"/>
          <w:insideH w:val="none" w:color="auto" w:sz="0"/>
          <w:insideV w:val="none" w:color="auto" w:sz="0"/>
        </w:tblBorders>
        <w:tblLayout w:type="fixed"/>
      </w:tblPr>
      <w:tblGrid>
        <w:gridCol w:w="10178"/>
      </w:tblGrid>
      <w:tr>
        <w:tc>
          <w:tcPr>
            <w:tcW w:type="dxa" w:w="10178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spacing w:after="200"/>
              <w:jc w:val="center"/>
            </w:pPr>
            <w:r>
              <w:drawing>
                <wp:inline distT="0" distB="0" distL="0" distR="0">
                  <wp:extent cx="1152525" cy="1152525"/>
                  <wp:effectExtent t="0" r="0" b="0" l="0"/>
                  <wp:docPr id="1" name="emblem.png" descr="Герб Кыргызской Республики" title="Герб КР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" descr="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8" cstate="none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152525" cy="115252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</w:tr>
    </w:tbl>
    <w:p>
      <w:pPr>
        <w:spacing w:after="60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right"/>
      </w:pPr>
      <w:r>
        <w:rPr>
          <w:rFonts w:ascii="Arial" w:cs="Arial" w:eastAsia="Arial" w:hAnsi="Arial"/>
          <w:sz w:val="24"/>
          <w:szCs w:val="24"/>
        </w:rPr>
        <w:t xml:space="preserve">Приложение</w:t>
      </w:r>
      <w:r>
        <w:rPr>
          <w:rFonts w:ascii="Arial" w:cs="Arial" w:eastAsia="Arial" w:hAnsi="Arial"/>
          <w:i/>
          <w:iCs/>
          <w:sz w:val="24"/>
          <w:szCs w:val="24"/>
        </w:rPr>
        <w:t xml:space="preserve">(к </w:t>
      </w:r>
      <w:hyperlink w:history="1" r:id="rIdd0ja8f08yb6kzzrk5a08h">
        <w:r>
          <w:rPr>
            <w:rFonts w:ascii="Arial" w:cs="Arial" w:eastAsia="Arial" w:hAnsi="Arial"/>
            <w:i/>
            <w:iCs/>
            <w:color w:val="1D4ED8"/>
            <w:sz w:val="24"/>
            <w:szCs w:val="24"/>
            <w:u w:val="single"/>
          </w:rPr>
          <w:t xml:space="preserve">постановлению</w:t>
        </w:r>
      </w:hyperlink>
      <w:r>
        <w:rPr>
          <w:rFonts w:ascii="Arial" w:cs="Arial" w:eastAsia="Arial" w:hAnsi="Arial"/>
          <w:i/>
          <w:iCs/>
          <w:sz w:val="24"/>
          <w:szCs w:val="24"/>
        </w:rPr>
        <w:t xml:space="preserve"> Кабинета Министров Кыргызской Республики
 от 19 марта 2024 года № 124</w:t>
      </w:r>
      <w:r>
        <w:rPr>
          <w:rFonts w:ascii="Arial" w:cs="Arial" w:eastAsia="Arial" w:hAnsi="Arial"/>
          <w:i/>
          <w:iCs/>
          <w:sz w:val="24"/>
          <w:szCs w:val="24"/>
        </w:rPr>
        <w:t xml:space="preserve">)</w:t>
      </w:r>
    </w:p>
    <w:p>
      <w:pPr>
        <w:spacing w:after="400" w:before="400"/>
        <w:jc w:val="center"/>
      </w:pPr>
      <w:r>
        <w:rPr>
          <w:rFonts w:ascii="Arial" w:cs="Arial" w:eastAsia="Arial" w:hAnsi="Arial"/>
          <w:b/>
          <w:bCs/>
          <w:sz w:val="28"/>
          <w:szCs w:val="28"/>
        </w:rPr>
        <w:t xml:space="preserve">ПОЛОЖЕНИЕ
 о порядке закупки этилового спирта, используемого в медицинских, ветеринарных, технических целях, а также для производства парфюмерно-косметической и алкогольной продукции</w:t>
      </w:r>
    </w:p>
    <w:p>
      <w:pPr>
        <w:spacing w:after="120"/>
        <w:jc w:val="center"/>
      </w:pPr>
      <w:r>
        <w:rPr>
          <w:rFonts w:ascii="Arial" w:cs="Arial" w:eastAsia="Arial" w:hAnsi="Arial"/>
          <w:i/>
          <w:iCs/>
          <w:sz w:val="24"/>
          <w:szCs w:val="24"/>
        </w:rPr>
        <w:t xml:space="preserve">(В редакции постановления Кабинета Министров КР от </w:t>
      </w:r>
      <w:hyperlink w:history="1" r:id="rIdpvlz-ipa0k2jw3bzns1vv">
        <w:r>
          <w:rPr>
            <w:rFonts w:ascii="Arial" w:cs="Arial" w:eastAsia="Arial" w:hAnsi="Arial"/>
            <w:i/>
            <w:iCs/>
            <w:color w:val="1D4ED8"/>
            <w:sz w:val="24"/>
            <w:szCs w:val="24"/>
            <w:u w:val="single"/>
          </w:rPr>
          <w:t xml:space="preserve">29 апреля 2026 года № 308</w:t>
        </w:r>
      </w:hyperlink>
      <w:r>
        <w:rPr>
          <w:rFonts w:ascii="Arial" w:cs="Arial" w:eastAsia="Arial" w:hAnsi="Arial"/>
          <w:i/>
          <w:iCs/>
          <w:sz w:val="24"/>
          <w:szCs w:val="24"/>
        </w:rPr>
        <w:t xml:space="preserve">)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200" w:before="200"/>
        <w:jc w:val="center"/>
      </w:pPr>
      <w:r>
        <w:rPr>
          <w:rFonts w:ascii="Arial" w:cs="Arial" w:eastAsia="Arial" w:hAnsi="Arial"/>
          <w:b/>
          <w:bCs/>
          <w:sz w:val="32"/>
          <w:szCs w:val="32"/>
        </w:rPr>
        <w:t xml:space="preserve">Глава 1. Общие положения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1. Настоящее Положение устанавливает порядок и условия закупок этилового спирта на территории Кыргызской Республики в медицинских, ветеринарных, технических целях, а также для производства парфюмерно-косметической и алкогольной продукции.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2. В настоящем Положении использованы следующие понятия: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1) </w:t>
      </w:r>
      <w:r>
        <w:rPr>
          <w:rFonts w:ascii="Arial" w:cs="Arial" w:eastAsia="Arial" w:hAnsi="Arial"/>
          <w:b/>
          <w:bCs/>
          <w:sz w:val="24"/>
          <w:szCs w:val="24"/>
        </w:rPr>
        <w:t xml:space="preserve">специальные потребители (далее - спецпотребители) этилового спирта</w:t>
      </w:r>
      <w:r>
        <w:rPr>
          <w:rFonts w:ascii="Arial" w:cs="Arial" w:eastAsia="Arial" w:hAnsi="Arial"/>
          <w:sz w:val="24"/>
          <w:szCs w:val="24"/>
        </w:rPr>
        <w:t xml:space="preserve"> - лица, использующие этиловый спирт в медицинских, ветеринарных целях и для производства парфюмерно-косметической продукции, перечень которых утверждается Кабинетом Министров Кыргызской Республики;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2) </w:t>
      </w:r>
      <w:r>
        <w:rPr>
          <w:rFonts w:ascii="Arial" w:cs="Arial" w:eastAsia="Arial" w:hAnsi="Arial"/>
          <w:b/>
          <w:bCs/>
          <w:sz w:val="24"/>
          <w:szCs w:val="24"/>
        </w:rPr>
        <w:t xml:space="preserve">регистрационный лист</w:t>
      </w:r>
      <w:r>
        <w:rPr>
          <w:rFonts w:ascii="Arial" w:cs="Arial" w:eastAsia="Arial" w:hAnsi="Arial"/>
          <w:sz w:val="24"/>
          <w:szCs w:val="24"/>
        </w:rPr>
        <w:t xml:space="preserve"> - документ, дающий право государственным предприятиям - производителям этилового спирта на его отпуск, по форме согласно </w:t>
      </w:r>
      <w:hyperlink w:history="1" r:id="rIdfnsib0jctt4maqdqbxbfp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приложению 1</w:t>
        </w:r>
      </w:hyperlink>
      <w:r>
        <w:rPr>
          <w:rFonts w:ascii="Arial" w:cs="Arial" w:eastAsia="Arial" w:hAnsi="Arial"/>
          <w:sz w:val="24"/>
          <w:szCs w:val="24"/>
        </w:rPr>
        <w:t xml:space="preserve"> к настоящему Положению.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3. Закупки этилового спирта для медицинских, ветеринарных, технических целей и для производства парфюмерно-косметической продукции, за исключением производства алкогольной продукции, осуществляются спецпотребителями и субъектами, использующими этиловый спирт для технических целей, непосредственно у государственного предприятия - производителя этилового спирта на основании квот, установленных уполномоченным государственным органом, осуществляющим государственный контроль в сфере производства и оборота этилового спирта, алкогольной и спиртосодержащей продукции (далее - уполномоченный государственный орган).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4. Квота определяет ежегодный объем потребления этилового спирта спецпотребителями, а также субъектами, использующими этиловый спирт для технических целей.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5. Закупки этилового спирта для производства алкогольной продукции производятся предприятиями алкогольной отрасли непосредственно у государственного предприятия - производителя этилового спирта на основании и в объемах, указанных в регистрационных листах, выданных уполномоченным государственным органом.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6. Срок действия регистрационного листа составляет 30 дней со дня выдачи.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7. Плата за оформление (выделение) квот на закупку этилового спирта и выдачу регистрационных листов со спецпотребителей и субъектов, использующих спирт в технических целях, а также предприятий алкогольной отрасли не взимается.</w:t>
      </w:r>
    </w:p>
    <w:p>
      <w:pPr>
        <w:spacing w:after="200" w:before="200"/>
        <w:jc w:val="center"/>
      </w:pPr>
      <w:r>
        <w:rPr>
          <w:rFonts w:ascii="Arial" w:cs="Arial" w:eastAsia="Arial" w:hAnsi="Arial"/>
          <w:b/>
          <w:bCs/>
          <w:sz w:val="32"/>
          <w:szCs w:val="32"/>
        </w:rPr>
        <w:t xml:space="preserve">Глава 2. Порядок распределения квот на потребление этилового спирта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8. Уполномоченный государственный орган ежегодно, не позднее 1 июня, направляет в уполномоченный государственный орган в сфере лекарственного обеспечения и медицинских изделий при Министерстве здравоохранения Кыргызской Республики (далее - уполномоченный государственный орган в сфере лекарственного обеспечения) и уполномоченный государственный орган в сфере ветеринарии при Министерстве водных ресурсов, сельского хозяйства и перерабатывающей промышленности Кыргызской Республики (далее - уполномоченный государственный орган в сфере ветеринарии) информацию о производителях этилового спирта с указанием их местонахождения и видов выпускаемой продукции.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9. Ежегодный объем квот потребления этилового спирта, за исключением производства алкогольной продукции, определяется на основании заявок спецпотребителей и субъектов, использующих спирт в технических целях, на планируемый объем потребления этилового спирта на будущий год с разбивкой по кварталам.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10. Заявки спецпотребителей на закупку этилового спирта с обоснованными расчетами по формам согласно приложениям </w:t>
      </w:r>
      <w:hyperlink w:history="1" r:id="rIdfu9un6bopx3ves5on2kky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2</w:t>
        </w:r>
      </w:hyperlink>
      <w:r>
        <w:rPr>
          <w:rFonts w:ascii="Arial" w:cs="Arial" w:eastAsia="Arial" w:hAnsi="Arial"/>
          <w:sz w:val="24"/>
          <w:szCs w:val="24"/>
        </w:rPr>
        <w:t xml:space="preserve">, </w:t>
      </w:r>
      <w:hyperlink w:history="1" r:id="rId51jbe3g1fqcych_dpysa0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3</w:t>
        </w:r>
      </w:hyperlink>
      <w:r>
        <w:rPr>
          <w:rFonts w:ascii="Arial" w:cs="Arial" w:eastAsia="Arial" w:hAnsi="Arial"/>
          <w:sz w:val="24"/>
          <w:szCs w:val="24"/>
        </w:rPr>
        <w:t xml:space="preserve"> к настоящему Положению представляются в срок до 1 октября текущего года в уполномоченный государственный орган в сфере лекарственного обеспечения - для медицинских нужд, в уполномоченный государственный орган в сфере ветеринарии - для ветеринарных нужд, в уполномоченный государственный орган - для нужд производства парфюмерно-косметической продукции.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11. Заявки на закупку этилового спирта субъектов, использующих этиловый спирт в технических целях, с обоснованными расчетами по форме согласно приложениям </w:t>
      </w:r>
      <w:hyperlink w:history="1" r:id="rIdgk2r0m6gzuzl_nm7u4r9j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2</w:t>
        </w:r>
      </w:hyperlink>
      <w:r>
        <w:rPr>
          <w:rFonts w:ascii="Arial" w:cs="Arial" w:eastAsia="Arial" w:hAnsi="Arial"/>
          <w:sz w:val="24"/>
          <w:szCs w:val="24"/>
        </w:rPr>
        <w:t xml:space="preserve">, </w:t>
      </w:r>
      <w:hyperlink w:history="1" r:id="rId3xves0hbcihpx31drqicq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3 </w:t>
        </w:r>
      </w:hyperlink>
      <w:r>
        <w:rPr>
          <w:rFonts w:ascii="Arial" w:cs="Arial" w:eastAsia="Arial" w:hAnsi="Arial"/>
          <w:sz w:val="24"/>
          <w:szCs w:val="24"/>
        </w:rPr>
        <w:t xml:space="preserve">к настоящему Положению представляются в срок до 1 декабря текущего года в уполномоченный государственный орган.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12. Уполномоченный государственный орган в сфере лекарственного обеспечения и уполномоченный государственный орган в сфере ветеринарии представляют в уполномоченный государственный орган сводные заявки по объемам потребления этилового спирта на будущий год в разрезе спецпотребителей, не позднее 1 декабря, по форме согласно </w:t>
      </w:r>
      <w:hyperlink w:history="1" r:id="rIdaa2taprmhs5xpmxqo0jjw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приложению 4 </w:t>
        </w:r>
      </w:hyperlink>
      <w:r>
        <w:rPr>
          <w:rFonts w:ascii="Arial" w:cs="Arial" w:eastAsia="Arial" w:hAnsi="Arial"/>
          <w:sz w:val="24"/>
          <w:szCs w:val="24"/>
        </w:rPr>
        <w:t xml:space="preserve">к настоящему Положению.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13. Сводный перечень спецпотребителей и субъектов, использующих этиловый спирт в технических целях, формируется уполномоченным государственным органом и утверждается Кабинетом Министров Кыргызской Республики.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14. Допускается внесение изменений и дополнений в сводный перечень спецпотребителей и субъектов, использующих этиловый спирт в технических целях, по мере поступления заявок.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14</w:t>
      </w:r>
      <w:r>
        <w:rPr>
          <w:rFonts w:ascii="Arial" w:cs="Arial" w:eastAsia="Arial" w:hAnsi="Arial"/>
          <w:sz w:val="24"/>
          <w:szCs w:val="24"/>
        </w:rPr>
        <w:t xml:space="preserve">1</w:t>
      </w:r>
      <w:r>
        <w:rPr>
          <w:rFonts w:ascii="Arial" w:cs="Arial" w:eastAsia="Arial" w:hAnsi="Arial"/>
          <w:sz w:val="24"/>
          <w:szCs w:val="24"/>
        </w:rPr>
        <w:t xml:space="preserve">. Заявки на включение в Перечень специальных потребителей и субъектов, использующих этиловый спирт для производства парфюмерно-косметической и/или дезинфицирующей продукции, а также для технических целей, рассматриваются уполномоченным государственным органом при предоставлении следующих документов и сведений: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1) технологический регламент (технологическая инструкция/карта) производства либо выписка из него, содержащая нормы расхода этилового спирта на единицу продукции (работ/услуг), без раскрытия сведений, составляющих коммерческую тайну;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2) документы, подтверждающие наличие у заявителя специализированного оборудования (на праве собственности и/или ином законном основании владения и/или пользования);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3) документы, подтверждающие соответствие производственных помещений санитарным нормам и правилам, установленным для производства парфюмерно-косметической и/или дезинфицирующей продукции (при заявлении таких целей);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4) акт осмотра производственных мощностей, составленный представителями уполномоченного государственного органа в целях оценки соответствия запрашиваемых объемов этилового спирта имеющимся производственным мощностям.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Сведения и документы, содержащие коммерческую тайну, представляются и хранятся уполномоченным государственным органом с соблюдением законодательства Кыргызской Республики о коммерческой тайне.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i/>
          <w:iCs/>
          <w:sz w:val="24"/>
          <w:szCs w:val="24"/>
        </w:rPr>
        <w:t xml:space="preserve">(В редакции постановления Кабинета Министров КР от </w:t>
      </w:r>
      <w:hyperlink w:history="1" r:id="rId6mvmj8qi1ud8nhw1esyc-">
        <w:r>
          <w:rPr>
            <w:rFonts w:ascii="Arial" w:cs="Arial" w:eastAsia="Arial" w:hAnsi="Arial"/>
            <w:i/>
            <w:iCs/>
            <w:color w:val="1D4ED8"/>
            <w:sz w:val="24"/>
            <w:szCs w:val="24"/>
            <w:u w:val="single"/>
          </w:rPr>
          <w:t xml:space="preserve">29 апреля 2026 года № 308</w:t>
        </w:r>
      </w:hyperlink>
      <w:r>
        <w:rPr>
          <w:rFonts w:ascii="Arial" w:cs="Arial" w:eastAsia="Arial" w:hAnsi="Arial"/>
          <w:i/>
          <w:iCs/>
          <w:sz w:val="24"/>
          <w:szCs w:val="24"/>
        </w:rPr>
        <w:t xml:space="preserve">)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14</w:t>
      </w:r>
      <w:r>
        <w:rPr>
          <w:rFonts w:ascii="Arial" w:cs="Arial" w:eastAsia="Arial" w:hAnsi="Arial"/>
          <w:sz w:val="24"/>
          <w:szCs w:val="24"/>
        </w:rPr>
        <w:t xml:space="preserve">2</w:t>
      </w:r>
      <w:r>
        <w:rPr>
          <w:rFonts w:ascii="Arial" w:cs="Arial" w:eastAsia="Arial" w:hAnsi="Arial"/>
          <w:sz w:val="24"/>
          <w:szCs w:val="24"/>
        </w:rPr>
        <w:t xml:space="preserve">. Осмотр производственных мощностей проводится уполномоченным государственным органом с соблюдением следующих требований: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1) осмотр проводится на основании зарегистрированной заявки заявителя;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2) заявитель уведомляется о дате и времени осмотра не позднее чем за 3 рабочих дня;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3) по результатам осмотра составляется акт в 2 экземплярах, один из которых вручается (направляется) заявителю;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4) в акте указываются дата и место осмотра, состав участников, перечень осмотренных помещений и оборудования, вывод о соответствии/несоответствии заявленных объемов этилового спирта имеющимся производственным мощностям.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Отказ заявителя в допуске к осмотру либо непредставление возможности осмотра фиксируется актом и является основанием для отказа во включении в сводный перечень.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i/>
          <w:iCs/>
          <w:sz w:val="24"/>
          <w:szCs w:val="24"/>
        </w:rPr>
        <w:t xml:space="preserve">(В редакции постановления Кабинета Министров КР от </w:t>
      </w:r>
      <w:hyperlink w:history="1" r:id="rIdwgt88ovcxwcicqs6zxe8b">
        <w:r>
          <w:rPr>
            <w:rFonts w:ascii="Arial" w:cs="Arial" w:eastAsia="Arial" w:hAnsi="Arial"/>
            <w:i/>
            <w:iCs/>
            <w:color w:val="1D4ED8"/>
            <w:sz w:val="24"/>
            <w:szCs w:val="24"/>
            <w:u w:val="single"/>
          </w:rPr>
          <w:t xml:space="preserve">29 апреля 2026 года № 308</w:t>
        </w:r>
      </w:hyperlink>
      <w:r>
        <w:rPr>
          <w:rFonts w:ascii="Arial" w:cs="Arial" w:eastAsia="Arial" w:hAnsi="Arial"/>
          <w:i/>
          <w:iCs/>
          <w:sz w:val="24"/>
          <w:szCs w:val="24"/>
        </w:rPr>
        <w:t xml:space="preserve">)</w:t>
      </w:r>
    </w:p>
    <w:p>
      <w:pPr>
        <w:spacing w:after="200" w:before="200"/>
        <w:jc w:val="center"/>
      </w:pPr>
      <w:r>
        <w:rPr>
          <w:rFonts w:ascii="Arial" w:cs="Arial" w:eastAsia="Arial" w:hAnsi="Arial"/>
          <w:b/>
          <w:bCs/>
          <w:sz w:val="32"/>
          <w:szCs w:val="32"/>
        </w:rPr>
        <w:t xml:space="preserve">Глава 3. Порядок выдачи либо отказа в выдаче этилового спирта спецпотребителям и субъектам, использующим этиловый спирт для технических целей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15. Для получения этилового спирта спецпотребители и субъекты, использующие этиловый спирт для технических целей, заключают договоры на поставку этилового спирта с государственным предприятием-производителем этилового спирта и обращаются в уполномоченный государственный орган с заявлением о выдаче этилового спирта, оформленным в произвольной форме.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16. Основаниями для отказа в выдаче спирта государственным предприятием-производителем этилового спирта являются: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1) отсутствие договора с государственным предприятием-производителем этилового спирта на поставку этилового спирта;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2) отсутствие соответствующей лицензии у государственного предприятия-производителя этилового спирта;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3) приостановление или отзыв соответствующей лицензии у государственного предприятия-производителя этилового спирта;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4) превышение установленных квот на закупку этилового спирта для медицинских, ветеринарных целей;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5) </w:t>
      </w:r>
      <w:r>
        <w:rPr>
          <w:rFonts w:ascii="Arial" w:cs="Arial" w:eastAsia="Arial" w:hAnsi="Arial"/>
          <w:sz w:val="24"/>
          <w:szCs w:val="24"/>
        </w:rPr>
        <w:t xml:space="preserve">установление уполномоченным государственным органом в ходе осуществления государственного контроля в сфере производства и оборота этилового спирта, алкогольной и спиртосодержащей продукции факта использования полученного этилового спирта не по целевому назначению.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i/>
          <w:iCs/>
          <w:sz w:val="24"/>
          <w:szCs w:val="24"/>
        </w:rPr>
        <w:t xml:space="preserve">(В редакции постановления Кабинета Министров КР от </w:t>
      </w:r>
      <w:hyperlink w:history="1" r:id="rIdwyszsbucoqyqzy3uiya5x">
        <w:r>
          <w:rPr>
            <w:rFonts w:ascii="Arial" w:cs="Arial" w:eastAsia="Arial" w:hAnsi="Arial"/>
            <w:i/>
            <w:iCs/>
            <w:color w:val="1D4ED8"/>
            <w:sz w:val="24"/>
            <w:szCs w:val="24"/>
            <w:u w:val="single"/>
          </w:rPr>
          <w:t xml:space="preserve">29 апреля 2026 года № 308</w:t>
        </w:r>
      </w:hyperlink>
      <w:r>
        <w:rPr>
          <w:rFonts w:ascii="Arial" w:cs="Arial" w:eastAsia="Arial" w:hAnsi="Arial"/>
          <w:i/>
          <w:iCs/>
          <w:sz w:val="24"/>
          <w:szCs w:val="24"/>
        </w:rPr>
        <w:t xml:space="preserve">)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17. Решение об отказе в выдаче этилового спирта должно быть обоснованным и сообщается заявителю уполномоченным государственным органом в письменной форме в течение одного рабочего дня с момента поступления заявления.</w:t>
      </w:r>
    </w:p>
    <w:p>
      <w:pPr>
        <w:spacing w:after="200" w:before="200"/>
        <w:jc w:val="center"/>
      </w:pPr>
      <w:r>
        <w:rPr>
          <w:rFonts w:ascii="Arial" w:cs="Arial" w:eastAsia="Arial" w:hAnsi="Arial"/>
          <w:b/>
          <w:bCs/>
          <w:sz w:val="32"/>
          <w:szCs w:val="32"/>
        </w:rPr>
        <w:t xml:space="preserve">Глава 4. Порядок выдачи регистрационного листа и отказа в его выдаче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18. Для получения регистрационного листа предприятия алкогольной отрасли предоставляют в уполномоченный государственный орган: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1) заявление о выдаче регистрационного листа по форме согласно </w:t>
      </w:r>
      <w:hyperlink w:history="1" r:id="rId1_c3j9hsh3jdj1d5se8kd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приложению 5</w:t>
        </w:r>
      </w:hyperlink>
      <w:r>
        <w:rPr>
          <w:rFonts w:ascii="Arial" w:cs="Arial" w:eastAsia="Arial" w:hAnsi="Arial"/>
          <w:sz w:val="24"/>
          <w:szCs w:val="24"/>
        </w:rPr>
        <w:t xml:space="preserve"> к настоящему Положению;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2) копию договора, заключенного с государственным предприятием-производителем этилового спирта на поставку этилового спирта.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19. Рассмотрение и выдача регистрационного листа осуществляются уполномоченным государственным органом в течение одного рабочего дня с момента регистрации.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20. Основаниями для отказа в выдаче регистрационного листа являются: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1) отсутствие копии договора, заключенного с государственным предприятием-производителем этилового спирта на поставку этилового спирта;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2) отсутствие соответствующей лицензии у государственного предприятия-производителя этилового спирта или у предприятия-производителя алкогольной продукции;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3) приостановление или отзыв соответствующей лицензии у государственного предприятия-производителя этилового спирта или у предприятия-производителя алкогольной продукции;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4) </w:t>
      </w:r>
      <w:r>
        <w:rPr>
          <w:rFonts w:ascii="Arial" w:cs="Arial" w:eastAsia="Arial" w:hAnsi="Arial"/>
          <w:sz w:val="24"/>
          <w:szCs w:val="24"/>
        </w:rPr>
        <w:t xml:space="preserve">установление уполномоченным государственным органом в ходе осуществления государственного контроля в сфере производства и оборота этилового спирта, алкогольной и спиртосодержащей продукции факта использования полученного этилового спирта не по целевому назначению.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i/>
          <w:iCs/>
          <w:sz w:val="24"/>
          <w:szCs w:val="24"/>
        </w:rPr>
        <w:t xml:space="preserve">(В редакции постановления Кабинета Министров КР от </w:t>
      </w:r>
      <w:hyperlink w:history="1" r:id="rIdnez3cjvzrcgifhbrjycvd">
        <w:r>
          <w:rPr>
            <w:rFonts w:ascii="Arial" w:cs="Arial" w:eastAsia="Arial" w:hAnsi="Arial"/>
            <w:i/>
            <w:iCs/>
            <w:color w:val="1D4ED8"/>
            <w:sz w:val="24"/>
            <w:szCs w:val="24"/>
            <w:u w:val="single"/>
          </w:rPr>
          <w:t xml:space="preserve">29 апреля 2026 года № 308</w:t>
        </w:r>
      </w:hyperlink>
      <w:r>
        <w:rPr>
          <w:rFonts w:ascii="Arial" w:cs="Arial" w:eastAsia="Arial" w:hAnsi="Arial"/>
          <w:i/>
          <w:iCs/>
          <w:sz w:val="24"/>
          <w:szCs w:val="24"/>
        </w:rPr>
        <w:t xml:space="preserve">)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21. Решение об отказе в выдаче регистрационного листа должно быть обоснованным и сообщается уполномоченным государственным органом заявителю в письменной форме в течение одного рабочего дня с момента поступления заявления.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22. Действие регистрационного листа на отпуск этилового спирта прекращается: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1) по истечении срока, на который выдан регистрационный лист;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2) при использовании в полном объеме этилового спирта, на отпуск которого выдан регистрационный лист;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3) при реорганизации или ликвидации предприятий алкогольной отрасли.</w:t>
      </w:r>
    </w:p>
    <w:p>
      <w:pPr>
        <w:spacing w:after="200" w:before="200"/>
        <w:jc w:val="center"/>
      </w:pPr>
      <w:r>
        <w:rPr>
          <w:rFonts w:ascii="Arial" w:cs="Arial" w:eastAsia="Arial" w:hAnsi="Arial"/>
          <w:b/>
          <w:bCs/>
          <w:sz w:val="32"/>
          <w:szCs w:val="32"/>
        </w:rPr>
        <w:t xml:space="preserve">Глава 5. Заключительные положения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23. Контроль за отпуском этилового спирта на государственном предприятии-производителе этилового спирта, а также целевым использованием этилового спирта для технических целей осуществляет уполномоченный государственный орган.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24. Государственное предприятие-производитель этилового спирта ежедневно представляет уполномоченному государственному органу сведения об объемах отпущенного спирта.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25. Контроль за целевым использованием этилового спирта для медицинских, ветеринарных целей и целей производства парфюмерно-косметической продукции осуществляют уполномоченный государственный орган в сфере лекарственного обеспечения, уполномоченный государственный орган в сфере ветеринарии и уполномоченный государственный орган соответственно в рамках компетенции.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26. Неиспользованные объемы квот на следующий год не переносятся.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27. Уполномоченный государственный орган в сфере лекарственного обеспечения, уполномоченный государственный орган в сфере ветеринарии, а также субъекты, использующие этиловый спирт для технических целей и для производства парфюмерно-косметической продукции, представляют уполномоченному государственному органу ежеквартальный отчет об использовании этилового спирта по форме согласно </w:t>
      </w:r>
      <w:hyperlink w:history="1" r:id="rIdc0uyp68huql-pmt9-nfmv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приложению 6</w:t>
        </w:r>
      </w:hyperlink>
      <w:r>
        <w:rPr>
          <w:rFonts w:ascii="Arial" w:cs="Arial" w:eastAsia="Arial" w:hAnsi="Arial"/>
          <w:sz w:val="24"/>
          <w:szCs w:val="24"/>
        </w:rPr>
        <w:t xml:space="preserve"> к настоящему Положению.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28. Отчеты представляются в срок не позднее 15 числа каждого месяца, следующего за отчетным периодом.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29. Уполномоченный государственный орган в сфере лекарственного обеспечения, уполномоченный государственный орган в сфере ветеринарии несут ответственность за достоверность информации, содержащейся в представленных ими отчетах уполномоченному государственному органу.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30. Реализация или использование этилового спирта без соответствующего регистрационного листа либо с нарушением требований настоящего Положения влечет ответственность, установленную Уголовным </w:t>
      </w:r>
      <w:hyperlink w:history="1" r:id="rIdyi9m6waz9ereiiipeus8i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кодексом</w:t>
        </w:r>
      </w:hyperlink>
      <w:r>
        <w:rPr>
          <w:rFonts w:ascii="Arial" w:cs="Arial" w:eastAsia="Arial" w:hAnsi="Arial"/>
          <w:sz w:val="24"/>
          <w:szCs w:val="24"/>
        </w:rPr>
        <w:t xml:space="preserve"> Кыргызской Республики и </w:t>
      </w:r>
      <w:hyperlink w:history="1" r:id="rIdspuy8jsiktsqq9dc5daia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Кодексом</w:t>
        </w:r>
      </w:hyperlink>
      <w:r>
        <w:rPr>
          <w:rFonts w:ascii="Arial" w:cs="Arial" w:eastAsia="Arial" w:hAnsi="Arial"/>
          <w:sz w:val="24"/>
          <w:szCs w:val="24"/>
        </w:rPr>
        <w:t xml:space="preserve"> Кыргызской Республики о правонарушениях.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right"/>
      </w:pPr>
      <w:r>
        <w:rPr>
          <w:rFonts w:ascii="Arial" w:cs="Arial" w:eastAsia="Arial" w:hAnsi="Arial"/>
          <w:sz w:val="24"/>
          <w:szCs w:val="24"/>
        </w:rPr>
        <w:t xml:space="preserve">Приложение 1</w:t>
      </w:r>
      <w:r>
        <w:rPr>
          <w:rFonts w:ascii="Arial" w:cs="Arial" w:eastAsia="Arial" w:hAnsi="Arial"/>
          <w:sz w:val="24"/>
          <w:szCs w:val="24"/>
        </w:rPr>
        <w:t xml:space="preserve">
 к Положению о порядке закупки этилового спирта, используемого в медицинских, ветеринарных, технических целях, а также для производства парфюмерно-косметической и алкогольной продукции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left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РЕГИСТРАЦИОННЫЙ ЛИСТ № _____
 на отпуск этилового спирта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right"/>
      </w:pPr>
      <w:r>
        <w:rPr>
          <w:rFonts w:ascii="Arial" w:cs="Arial" w:eastAsia="Arial" w:hAnsi="Arial"/>
          <w:sz w:val="24"/>
          <w:szCs w:val="24"/>
        </w:rPr>
        <w:t xml:space="preserve">Приложение 2</w:t>
      </w:r>
      <w:r>
        <w:rPr>
          <w:rFonts w:ascii="Arial" w:cs="Arial" w:eastAsia="Arial" w:hAnsi="Arial"/>
          <w:sz w:val="24"/>
          <w:szCs w:val="24"/>
        </w:rPr>
        <w:t xml:space="preserve">
 к Положению о порядке закупки этилового спирта, используемого в медицинских, ветеринарных, технических целях, а также для производства парфюмерно-косметической и алкогольной продукции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right"/>
      </w:pPr>
      <w:r>
        <w:rPr>
          <w:rFonts w:ascii="Arial" w:cs="Arial" w:eastAsia="Arial" w:hAnsi="Arial"/>
          <w:sz w:val="24"/>
          <w:szCs w:val="24"/>
        </w:rPr>
        <w:t xml:space="preserve">"Утверждаю"</w:t>
      </w:r>
    </w:p>
    <w:p>
      <w:pPr>
        <w:spacing w:after="120"/>
        <w:jc w:val="right"/>
      </w:pPr>
      <w:r>
        <w:rPr>
          <w:rFonts w:ascii="Arial" w:cs="Arial" w:eastAsia="Arial" w:hAnsi="Arial"/>
          <w:sz w:val="24"/>
          <w:szCs w:val="24"/>
        </w:rPr>
        <w:t xml:space="preserve">Директор __________________________________</w:t>
      </w:r>
      <w:r>
        <w:rPr>
          <w:rFonts w:ascii="Arial" w:cs="Arial" w:eastAsia="Arial" w:hAnsi="Arial"/>
          <w:sz w:val="24"/>
          <w:szCs w:val="24"/>
        </w:rPr>
        <w:t xml:space="preserve">М.П.          (наименование юридического лица)</w:t>
      </w:r>
      <w:r>
        <w:rPr>
          <w:rFonts w:ascii="Arial" w:cs="Arial" w:eastAsia="Arial" w:hAnsi="Arial"/>
          <w:sz w:val="24"/>
          <w:szCs w:val="24"/>
        </w:rPr>
        <w:t xml:space="preserve">__________________________________________</w:t>
      </w:r>
      <w:r>
        <w:rPr>
          <w:rFonts w:ascii="Arial" w:cs="Arial" w:eastAsia="Arial" w:hAnsi="Arial"/>
          <w:sz w:val="24"/>
          <w:szCs w:val="24"/>
        </w:rPr>
        <w:t xml:space="preserve">(ФИО, подпись)</w:t>
      </w:r>
    </w:p>
    <w:p>
      <w:pPr>
        <w:spacing w:after="120"/>
        <w:jc w:val="right"/>
      </w:pPr>
      <w:r>
        <w:rPr>
          <w:rFonts w:ascii="Arial" w:cs="Arial" w:eastAsia="Arial" w:hAnsi="Arial"/>
          <w:sz w:val="24"/>
          <w:szCs w:val="24"/>
        </w:rPr>
        <w:t xml:space="preserve">"____" ___________________ 20___ года</w:t>
      </w:r>
    </w:p>
    <w:p>
      <w:pPr>
        <w:spacing w:after="400" w:before="400"/>
        <w:jc w:val="center"/>
      </w:pPr>
      <w:r>
        <w:rPr>
          <w:rFonts w:ascii="Arial" w:cs="Arial" w:eastAsia="Arial" w:hAnsi="Arial"/>
          <w:b/>
          <w:bCs/>
          <w:sz w:val="32"/>
          <w:szCs w:val="32"/>
        </w:rPr>
        <w:t xml:space="preserve">НОРМА
 расхода этилового спирта на проведение работ и слуг</w:t>
      </w:r>
    </w:p>
    <w:tbl>
      <w:tblPr>
        <w:tblW w:type="dxa" w:w="10178"/>
        <w:tblBorders>
          <w:top w:val="none" w:color="auto" w:sz="0"/>
          <w:left w:val="none" w:color="auto" w:sz="0"/>
          <w:bottom w:val="none" w:color="auto" w:sz="0"/>
          <w:right w:val="none" w:color="auto" w:sz="0"/>
          <w:insideH w:val="none" w:color="auto" w:sz="0"/>
          <w:insideV w:val="none" w:color="auto" w:sz="0"/>
        </w:tblBorders>
        <w:tblLayout w:type="fixed"/>
      </w:tblPr>
      <w:tblGrid>
        <w:gridCol w:w="245"/>
        <w:gridCol w:w="3311"/>
        <w:gridCol w:w="3311"/>
        <w:gridCol w:w="3311"/>
      </w:tblGrid>
      <w:tr>
        <w:tc>
          <w:tcPr>
            <w:tcW w:type="dxa" w:w="245"/>
            <w:tcBorders>
              <w:top w:val="single" w:color="CBBF9E" w:sz="4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b/>
                <w:bCs/>
                <w:sz w:val="24"/>
                <w:szCs w:val="24"/>
              </w:rPr>
              <w:t xml:space="preserve">№</w:t>
            </w:r>
          </w:p>
        </w:tc>
        <w:tc>
          <w:tcPr>
            <w:tcW w:type="dxa" w:w="3311"/>
            <w:tcBorders>
              <w:top w:val="single" w:color="CBBF9E" w:sz="4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b/>
                <w:bCs/>
                <w:sz w:val="24"/>
                <w:szCs w:val="24"/>
              </w:rPr>
              <w:t xml:space="preserve">Наименование работ и услуг</w:t>
            </w:r>
          </w:p>
        </w:tc>
        <w:tc>
          <w:tcPr>
            <w:tcW w:type="dxa" w:w="3311"/>
            <w:tcBorders>
              <w:top w:val="single" w:color="CBBF9E" w:sz="4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b/>
                <w:bCs/>
                <w:sz w:val="24"/>
                <w:szCs w:val="24"/>
              </w:rPr>
              <w:t xml:space="preserve">Нормы расхода этилового спирта на 1 ед. (литр)</w:t>
            </w:r>
          </w:p>
        </w:tc>
        <w:tc>
          <w:tcPr>
            <w:tcW w:type="dxa" w:w="3311"/>
            <w:tcBorders>
              <w:top w:val="single" w:color="CBBF9E" w:sz="4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b/>
                <w:bCs/>
                <w:sz w:val="24"/>
                <w:szCs w:val="24"/>
              </w:rPr>
              <w:t xml:space="preserve">Ссылка на нормативный документ</w:t>
            </w:r>
          </w:p>
        </w:tc>
      </w:tr>
      <w:tr>
        <w:tc>
          <w:tcPr>
            <w:tcW w:type="dxa" w:w="245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</w:t>
            </w:r>
          </w:p>
        </w:tc>
        <w:tc>
          <w:tcPr>
            <w:tcW w:type="dxa" w:w="331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331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331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</w:tr>
    </w:tbl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Подпись _____________________________________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                           (ответственного лица)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right"/>
      </w:pPr>
      <w:r>
        <w:rPr>
          <w:rFonts w:ascii="Arial" w:cs="Arial" w:eastAsia="Arial" w:hAnsi="Arial"/>
          <w:sz w:val="24"/>
          <w:szCs w:val="24"/>
        </w:rPr>
        <w:t xml:space="preserve">Приложение 3</w:t>
      </w:r>
      <w:r>
        <w:rPr>
          <w:rFonts w:ascii="Arial" w:cs="Arial" w:eastAsia="Arial" w:hAnsi="Arial"/>
          <w:sz w:val="24"/>
          <w:szCs w:val="24"/>
        </w:rPr>
        <w:t xml:space="preserve">
 к Положению о порядке закупки этилового спирта, используемого в медицинских, ветеринарных, технических целях, а также для производства парфюмерно-косметической и алкогольной продукции</w:t>
      </w:r>
    </w:p>
    <w:p>
      <w:pPr>
        <w:spacing w:after="400" w:before="400"/>
        <w:jc w:val="center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РАСЧЕТ
 потребности в этиловом спирте для
 _________________________________________________________
 </w:t>
      </w:r>
      <w:r>
        <w:rPr>
          <w:rFonts w:ascii="Arial" w:cs="Arial" w:eastAsia="Arial" w:hAnsi="Arial"/>
          <w:sz w:val="24"/>
          <w:szCs w:val="24"/>
        </w:rPr>
        <w:t xml:space="preserve">(наименование юридического лица)
 </w:t>
      </w:r>
      <w:r>
        <w:rPr>
          <w:rFonts w:ascii="Arial" w:cs="Arial" w:eastAsia="Arial" w:hAnsi="Arial"/>
          <w:b/>
          <w:bCs/>
          <w:sz w:val="24"/>
          <w:szCs w:val="24"/>
        </w:rPr>
        <w:t xml:space="preserve">на 20___ год</w:t>
      </w:r>
    </w:p>
    <w:tbl>
      <w:tblPr>
        <w:tblW w:type="dxa" w:w="10178"/>
        <w:tblBorders>
          <w:top w:val="none" w:color="auto" w:sz="0"/>
          <w:left w:val="none" w:color="auto" w:sz="0"/>
          <w:bottom w:val="none" w:color="auto" w:sz="0"/>
          <w:right w:val="none" w:color="auto" w:sz="0"/>
          <w:insideH w:val="none" w:color="auto" w:sz="0"/>
          <w:insideV w:val="none" w:color="auto" w:sz="0"/>
        </w:tblBorders>
        <w:tblLayout w:type="fixed"/>
      </w:tblPr>
      <w:tblGrid>
        <w:gridCol w:w="245"/>
        <w:gridCol w:w="2483"/>
        <w:gridCol w:w="2483"/>
        <w:gridCol w:w="2483"/>
        <w:gridCol w:w="2483"/>
      </w:tblGrid>
      <w:tr>
        <w:tc>
          <w:tcPr>
            <w:tcW w:type="dxa" w:w="245"/>
            <w:tcBorders>
              <w:top w:val="single" w:color="CBBF9E" w:sz="4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b/>
                <w:bCs/>
                <w:sz w:val="24"/>
                <w:szCs w:val="24"/>
              </w:rPr>
              <w:t xml:space="preserve">№</w:t>
            </w:r>
          </w:p>
        </w:tc>
        <w:tc>
          <w:tcPr>
            <w:tcW w:type="dxa" w:w="2483"/>
            <w:tcBorders>
              <w:top w:val="single" w:color="CBBF9E" w:sz="4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b/>
                <w:bCs/>
                <w:sz w:val="24"/>
                <w:szCs w:val="24"/>
              </w:rPr>
              <w:t xml:space="preserve">Наименование работ и услуг</w:t>
            </w:r>
          </w:p>
        </w:tc>
        <w:tc>
          <w:tcPr>
            <w:tcW w:type="dxa" w:w="2483"/>
            <w:tcBorders>
              <w:top w:val="single" w:color="CBBF9E" w:sz="4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b/>
                <w:bCs/>
                <w:sz w:val="24"/>
                <w:szCs w:val="24"/>
              </w:rPr>
              <w:t xml:space="preserve">Количество услуг и работ в год</w:t>
            </w:r>
          </w:p>
        </w:tc>
        <w:tc>
          <w:tcPr>
            <w:tcW w:type="dxa" w:w="2483"/>
            <w:tcBorders>
              <w:top w:val="single" w:color="CBBF9E" w:sz="4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b/>
                <w:bCs/>
                <w:sz w:val="24"/>
                <w:szCs w:val="24"/>
              </w:rPr>
              <w:t xml:space="preserve">Нормы расхода этилового спирта на 1 единицу (литр)</w:t>
            </w:r>
          </w:p>
        </w:tc>
        <w:tc>
          <w:tcPr>
            <w:tcW w:type="dxa" w:w="2483"/>
            <w:tcBorders>
              <w:top w:val="single" w:color="CBBF9E" w:sz="4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b/>
                <w:bCs/>
                <w:sz w:val="24"/>
                <w:szCs w:val="24"/>
              </w:rPr>
              <w:t xml:space="preserve">Потребность этилового спирта на год (литр)</w:t>
            </w:r>
          </w:p>
        </w:tc>
      </w:tr>
      <w:tr>
        <w:tc>
          <w:tcPr>
            <w:tcW w:type="dxa" w:w="245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</w:t>
            </w:r>
          </w:p>
        </w:tc>
        <w:tc>
          <w:tcPr>
            <w:tcW w:type="dxa" w:w="248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248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248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248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</w:tr>
    </w:tbl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right"/>
      </w:pPr>
      <w:r>
        <w:rPr>
          <w:rFonts w:ascii="Arial" w:cs="Arial" w:eastAsia="Arial" w:hAnsi="Arial"/>
          <w:sz w:val="24"/>
          <w:szCs w:val="24"/>
        </w:rPr>
        <w:t xml:space="preserve">____________________________________________________</w:t>
      </w:r>
    </w:p>
    <w:p>
      <w:pPr>
        <w:spacing w:after="120"/>
        <w:jc w:val="right"/>
      </w:pPr>
      <w:r>
        <w:rPr>
          <w:rFonts w:ascii="Arial" w:cs="Arial" w:eastAsia="Arial" w:hAnsi="Arial"/>
          <w:sz w:val="24"/>
          <w:szCs w:val="24"/>
        </w:rPr>
        <w:t xml:space="preserve">М.П.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right"/>
      </w:pPr>
      <w:r>
        <w:rPr>
          <w:rFonts w:ascii="Arial" w:cs="Arial" w:eastAsia="Arial" w:hAnsi="Arial"/>
          <w:sz w:val="24"/>
          <w:szCs w:val="24"/>
        </w:rPr>
        <w:t xml:space="preserve">Приложение 4</w:t>
      </w:r>
      <w:r>
        <w:rPr>
          <w:rFonts w:ascii="Arial" w:cs="Arial" w:eastAsia="Arial" w:hAnsi="Arial"/>
          <w:sz w:val="24"/>
          <w:szCs w:val="24"/>
        </w:rPr>
        <w:t xml:space="preserve">
 к Положению о порядке закупки этилового спирта, используемого в медицинских, ветеринарных, технических целях, а также для производства парфюмерно-косметической и алкогольной продукции</w:t>
      </w:r>
    </w:p>
    <w:p>
      <w:pPr>
        <w:spacing w:after="400" w:before="400"/>
        <w:jc w:val="center"/>
      </w:pPr>
      <w:r>
        <w:rPr>
          <w:rFonts w:ascii="Arial" w:cs="Arial" w:eastAsia="Arial" w:hAnsi="Arial"/>
          <w:b/>
          <w:bCs/>
          <w:sz w:val="32"/>
          <w:szCs w:val="32"/>
        </w:rPr>
        <w:t xml:space="preserve">ПЕРЕЧЕНЬ
 спецпотребителей, имеющих право на получение этилового спирта на 20___ год</w:t>
      </w:r>
    </w:p>
    <w:tbl>
      <w:tblPr>
        <w:tblW w:type="dxa" w:w="10178"/>
        <w:tblBorders>
          <w:top w:val="none" w:color="auto" w:sz="0"/>
          <w:left w:val="none" w:color="auto" w:sz="0"/>
          <w:bottom w:val="none" w:color="auto" w:sz="0"/>
          <w:right w:val="none" w:color="auto" w:sz="0"/>
          <w:insideH w:val="none" w:color="auto" w:sz="0"/>
          <w:insideV w:val="none" w:color="auto" w:sz="0"/>
        </w:tblBorders>
        <w:tblLayout w:type="fixed"/>
      </w:tblPr>
      <w:tblGrid>
        <w:gridCol w:w="245"/>
        <w:gridCol w:w="2365"/>
        <w:gridCol w:w="1941"/>
        <w:gridCol w:w="1468"/>
        <w:gridCol w:w="1044"/>
        <w:gridCol w:w="1044"/>
        <w:gridCol w:w="1044"/>
        <w:gridCol w:w="1028"/>
      </w:tblGrid>
      <w:tr>
        <w:tc>
          <w:tcPr>
            <w:tcW w:type="dxa" w:w="245"/>
            <w:tcBorders>
              <w:top w:val="single" w:color="CBBF9E" w:sz="4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b/>
                <w:bCs/>
                <w:sz w:val="24"/>
                <w:szCs w:val="24"/>
              </w:rPr>
              <w:t xml:space="preserve">№</w:t>
            </w:r>
          </w:p>
        </w:tc>
        <w:tc>
          <w:tcPr>
            <w:tcW w:type="dxa" w:w="2365"/>
            <w:tcBorders>
              <w:top w:val="single" w:color="CBBF9E" w:sz="4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b/>
                <w:bCs/>
                <w:sz w:val="24"/>
                <w:szCs w:val="24"/>
              </w:rPr>
              <w:t xml:space="preserve">Наименование организации</w:t>
            </w:r>
          </w:p>
        </w:tc>
        <w:tc>
          <w:tcPr>
            <w:tcW w:type="dxa" w:w="1941"/>
            <w:tcBorders>
              <w:top w:val="single" w:color="CBBF9E" w:sz="4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b/>
                <w:bCs/>
                <w:sz w:val="24"/>
                <w:szCs w:val="24"/>
              </w:rPr>
              <w:t xml:space="preserve">Адрес</w:t>
            </w:r>
          </w:p>
        </w:tc>
        <w:tc>
          <w:tcPr>
            <w:tcW w:type="dxa" w:w="1468"/>
            <w:tcBorders>
              <w:top w:val="single" w:color="CBBF9E" w:sz="4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b/>
                <w:bCs/>
                <w:sz w:val="24"/>
                <w:szCs w:val="24"/>
              </w:rPr>
              <w:t xml:space="preserve">Требуемый объем (литр)</w:t>
            </w:r>
          </w:p>
        </w:tc>
        <w:tc>
          <w:tcPr>
            <w:tcW w:type="dxa" w:w="1044"/>
            <w:tcBorders>
              <w:top w:val="single" w:color="CBBF9E" w:sz="4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b/>
                <w:bCs/>
                <w:sz w:val="24"/>
                <w:szCs w:val="24"/>
              </w:rPr>
              <w:t xml:space="preserve">I квартал</w:t>
            </w:r>
          </w:p>
        </w:tc>
        <w:tc>
          <w:tcPr>
            <w:tcW w:type="dxa" w:w="1044"/>
            <w:tcBorders>
              <w:top w:val="single" w:color="CBBF9E" w:sz="4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b/>
                <w:bCs/>
                <w:sz w:val="24"/>
                <w:szCs w:val="24"/>
              </w:rPr>
              <w:t xml:space="preserve">II квартал</w:t>
            </w:r>
          </w:p>
        </w:tc>
        <w:tc>
          <w:tcPr>
            <w:tcW w:type="dxa" w:w="1044"/>
            <w:tcBorders>
              <w:top w:val="single" w:color="CBBF9E" w:sz="4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b/>
                <w:bCs/>
                <w:sz w:val="24"/>
                <w:szCs w:val="24"/>
              </w:rPr>
              <w:t xml:space="preserve">III квартал</w:t>
            </w:r>
          </w:p>
        </w:tc>
        <w:tc>
          <w:tcPr>
            <w:tcW w:type="dxa" w:w="1028"/>
            <w:tcBorders>
              <w:top w:val="single" w:color="CBBF9E" w:sz="4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b/>
                <w:bCs/>
                <w:sz w:val="24"/>
                <w:szCs w:val="24"/>
              </w:rPr>
              <w:t xml:space="preserve">IV квартал</w:t>
            </w:r>
          </w:p>
        </w:tc>
      </w:tr>
      <w:tr>
        <w:tc>
          <w:tcPr>
            <w:tcW w:type="dxa" w:w="245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</w:t>
            </w:r>
          </w:p>
        </w:tc>
        <w:tc>
          <w:tcPr>
            <w:tcW w:type="dxa" w:w="236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194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146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104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104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104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102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</w:tr>
    </w:tbl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right"/>
      </w:pPr>
      <w:r>
        <w:rPr>
          <w:rFonts w:ascii="Arial" w:cs="Arial" w:eastAsia="Arial" w:hAnsi="Arial"/>
          <w:sz w:val="24"/>
          <w:szCs w:val="24"/>
        </w:rPr>
        <w:t xml:space="preserve">____________________________________________________</w:t>
      </w:r>
    </w:p>
    <w:p>
      <w:pPr>
        <w:spacing w:after="120"/>
        <w:jc w:val="right"/>
      </w:pPr>
      <w:r>
        <w:rPr>
          <w:rFonts w:ascii="Arial" w:cs="Arial" w:eastAsia="Arial" w:hAnsi="Arial"/>
          <w:sz w:val="24"/>
          <w:szCs w:val="24"/>
        </w:rPr>
        <w:t xml:space="preserve">М.П.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right"/>
      </w:pPr>
      <w:r>
        <w:rPr>
          <w:rFonts w:ascii="Arial" w:cs="Arial" w:eastAsia="Arial" w:hAnsi="Arial"/>
          <w:sz w:val="24"/>
          <w:szCs w:val="24"/>
        </w:rPr>
        <w:t xml:space="preserve">Приложение 5</w:t>
      </w:r>
      <w:r>
        <w:rPr>
          <w:rFonts w:ascii="Arial" w:cs="Arial" w:eastAsia="Arial" w:hAnsi="Arial"/>
          <w:sz w:val="24"/>
          <w:szCs w:val="24"/>
        </w:rPr>
        <w:t xml:space="preserve">
 к Положению о порядке закупки этилового спирта, используемого в медицинских, ветеринарных, технических целях, а также для производства парфюмерно-косметической и алкогольной продукции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right"/>
      </w:pPr>
      <w:r>
        <w:rPr>
          <w:rFonts w:ascii="Arial" w:cs="Arial" w:eastAsia="Arial" w:hAnsi="Arial"/>
          <w:sz w:val="24"/>
          <w:szCs w:val="24"/>
        </w:rPr>
        <w:t xml:space="preserve">Уполномоченный государственный орган, осуществляющий государственный контроль в сфере производства и оборота этилового спирта, алкогольной и спиртосодержащей продукции от</w:t>
      </w:r>
    </w:p>
    <w:p>
      <w:pPr>
        <w:spacing w:after="120"/>
        <w:jc w:val="right"/>
      </w:pPr>
      <w:r>
        <w:rPr>
          <w:rFonts w:ascii="Arial" w:cs="Arial" w:eastAsia="Arial" w:hAnsi="Arial"/>
          <w:sz w:val="24"/>
          <w:szCs w:val="24"/>
        </w:rPr>
        <w:t xml:space="preserve">________________________________________________</w:t>
      </w:r>
      <w:r>
        <w:rPr>
          <w:rFonts w:ascii="Arial" w:cs="Arial" w:eastAsia="Arial" w:hAnsi="Arial"/>
          <w:sz w:val="24"/>
          <w:szCs w:val="24"/>
        </w:rPr>
        <w:t xml:space="preserve">________________________________________________</w:t>
      </w:r>
      <w:r>
        <w:rPr>
          <w:rFonts w:ascii="Arial" w:cs="Arial" w:eastAsia="Arial" w:hAnsi="Arial"/>
          <w:sz w:val="24"/>
          <w:szCs w:val="24"/>
        </w:rPr>
        <w:t xml:space="preserve">(наименование лица)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left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ЗАЯВЛЕНИЕ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right"/>
      </w:pPr>
      <w:r>
        <w:rPr>
          <w:rFonts w:ascii="Arial" w:cs="Arial" w:eastAsia="Arial" w:hAnsi="Arial"/>
          <w:sz w:val="24"/>
          <w:szCs w:val="24"/>
        </w:rPr>
        <w:t xml:space="preserve">Приложение 6</w:t>
      </w:r>
      <w:r>
        <w:rPr>
          <w:rFonts w:ascii="Arial" w:cs="Arial" w:eastAsia="Arial" w:hAnsi="Arial"/>
          <w:sz w:val="24"/>
          <w:szCs w:val="24"/>
        </w:rPr>
        <w:t xml:space="preserve">
 к Положению о порядке закупки этилового спирта, используемого в медицинских, ветеринарных, технических целях, а также для производства парфюмерно-косметической и алкогольной продукции</w:t>
      </w:r>
    </w:p>
    <w:p>
      <w:pPr>
        <w:spacing w:after="400" w:before="400"/>
        <w:jc w:val="center"/>
      </w:pPr>
      <w:r>
        <w:rPr>
          <w:rFonts w:ascii="Arial" w:cs="Arial" w:eastAsia="Arial" w:hAnsi="Arial"/>
          <w:b/>
          <w:bCs/>
          <w:sz w:val="32"/>
          <w:szCs w:val="32"/>
        </w:rPr>
        <w:t xml:space="preserve">ОТЧЕТ
 об использовании этилового спирта в медицинских, ветеринарных, технических целях,
 а также для производства парфюмерно-косметической и алкогольной продукции
 за _______________ квартал 20___ года</w:t>
      </w:r>
    </w:p>
    <w:tbl>
      <w:tblPr>
        <w:tblW w:type="dxa" w:w="10178"/>
        <w:tblBorders>
          <w:top w:val="none" w:color="auto" w:sz="0"/>
          <w:left w:val="none" w:color="auto" w:sz="0"/>
          <w:bottom w:val="none" w:color="auto" w:sz="0"/>
          <w:right w:val="none" w:color="auto" w:sz="0"/>
          <w:insideH w:val="none" w:color="auto" w:sz="0"/>
          <w:insideV w:val="none" w:color="auto" w:sz="0"/>
        </w:tblBorders>
        <w:tblLayout w:type="fixed"/>
      </w:tblPr>
      <w:tblGrid>
        <w:gridCol w:w="196"/>
        <w:gridCol w:w="1337"/>
        <w:gridCol w:w="1468"/>
        <w:gridCol w:w="1794"/>
        <w:gridCol w:w="1794"/>
        <w:gridCol w:w="1794"/>
        <w:gridCol w:w="1794"/>
      </w:tblGrid>
      <w:tr>
        <w:tc>
          <w:tcPr>
            <w:tcW w:type="dxa" w:w="196"/>
            <w:tcBorders>
              <w:top w:val="single" w:color="CBBF9E" w:sz="4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b/>
                <w:bCs/>
                <w:sz w:val="24"/>
                <w:szCs w:val="24"/>
              </w:rPr>
              <w:t xml:space="preserve">№</w:t>
            </w:r>
          </w:p>
        </w:tc>
        <w:tc>
          <w:tcPr>
            <w:tcW w:type="dxa" w:w="1337"/>
            <w:tcBorders>
              <w:top w:val="single" w:color="CBBF9E" w:sz="4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b/>
                <w:bCs/>
                <w:sz w:val="24"/>
                <w:szCs w:val="24"/>
              </w:rPr>
              <w:t xml:space="preserve">Наименование организации</w:t>
            </w:r>
          </w:p>
        </w:tc>
        <w:tc>
          <w:tcPr>
            <w:tcW w:type="dxa" w:w="1468"/>
            <w:tcBorders>
              <w:top w:val="single" w:color="CBBF9E" w:sz="4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b/>
                <w:bCs/>
                <w:sz w:val="24"/>
                <w:szCs w:val="24"/>
              </w:rPr>
              <w:t xml:space="preserve">Адрес</w:t>
            </w:r>
          </w:p>
        </w:tc>
        <w:tc>
          <w:tcPr>
            <w:tcW w:type="dxa" w:w="1794"/>
            <w:tcBorders>
              <w:top w:val="single" w:color="CBBF9E" w:sz="4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b/>
                <w:bCs/>
                <w:sz w:val="24"/>
                <w:szCs w:val="24"/>
              </w:rPr>
              <w:t xml:space="preserve">Объем выделенной квоты (литр)</w:t>
            </w:r>
          </w:p>
        </w:tc>
        <w:tc>
          <w:tcPr>
            <w:tcW w:type="dxa" w:w="1794"/>
            <w:tcBorders>
              <w:top w:val="single" w:color="CBBF9E" w:sz="4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b/>
                <w:bCs/>
                <w:sz w:val="24"/>
                <w:szCs w:val="24"/>
              </w:rPr>
              <w:t xml:space="preserve">Установленная квота на отчетный период (литр)</w:t>
            </w:r>
          </w:p>
        </w:tc>
        <w:tc>
          <w:tcPr>
            <w:tcW w:type="dxa" w:w="1794"/>
            <w:tcBorders>
              <w:top w:val="single" w:color="CBBF9E" w:sz="4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b/>
                <w:bCs/>
                <w:sz w:val="24"/>
                <w:szCs w:val="24"/>
              </w:rPr>
              <w:t xml:space="preserve">Фактический объем полученного этилового спирта (литр)</w:t>
            </w:r>
          </w:p>
        </w:tc>
        <w:tc>
          <w:tcPr>
            <w:tcW w:type="dxa" w:w="1794"/>
            <w:tcBorders>
              <w:top w:val="single" w:color="CBBF9E" w:sz="4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b/>
                <w:bCs/>
                <w:sz w:val="24"/>
                <w:szCs w:val="24"/>
              </w:rPr>
              <w:t xml:space="preserve">Остаток этилового спирта (литр)</w:t>
            </w:r>
          </w:p>
        </w:tc>
      </w:tr>
      <w:tr>
        <w:tc>
          <w:tcPr>
            <w:tcW w:type="dxa" w:w="196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</w:t>
            </w:r>
          </w:p>
        </w:tc>
        <w:tc>
          <w:tcPr>
            <w:tcW w:type="dxa" w:w="133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146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179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179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179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179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</w:tr>
    </w:tbl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right"/>
      </w:pPr>
      <w:r>
        <w:rPr>
          <w:rFonts w:ascii="Arial" w:cs="Arial" w:eastAsia="Arial" w:hAnsi="Arial"/>
          <w:sz w:val="24"/>
          <w:szCs w:val="24"/>
        </w:rPr>
        <w:t xml:space="preserve">____________________________________________________</w:t>
      </w:r>
    </w:p>
    <w:p>
      <w:pPr>
        <w:spacing w:after="120"/>
        <w:jc w:val="right"/>
      </w:pPr>
      <w:r>
        <w:rPr>
          <w:rFonts w:ascii="Arial" w:cs="Arial" w:eastAsia="Arial" w:hAnsi="Arial"/>
          <w:sz w:val="24"/>
          <w:szCs w:val="24"/>
        </w:rPr>
        <w:t xml:space="preserve">М.П.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sectPr>
      <w:footerReference w:type="default" r:id="rId7"/>
      <w:pgSz w:w="11906" w:h="16838" w:orient="portrait"/>
      <w:pgMar w:top="864" w:right="864" w:bottom="864" w:left="864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>
  <w:p>
    <w:pPr>
      <w:pBdr>
        <w:top w:val="single" w:color="D0D0D0" w:sz="6" w:space="8"/>
      </w:pBdr>
      <w:spacing w:after="0" w:before="80"/>
      <w:jc w:val="center"/>
    </w:pPr>
    <w:r>
      <w:rPr>
        <w:rFonts w:ascii="Arial" w:cs="Arial" w:eastAsia="Arial" w:hAnsi="Arial"/>
        <w:color w:val="666666"/>
        <w:sz w:val="16"/>
        <w:szCs w:val="16"/>
      </w:rPr>
      <w:t xml:space="preserve">Источник: </w:t>
    </w:r>
    <w:hyperlink w:history="1" r:id="rIdir0bkqzdbvh-bnb6fmvnk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dalil.kg/document/230011836</w:t>
      </w:r>
    </w:hyperlink>
  </w:p>
  <w:p>
    <w:pPr>
      <w:spacing w:after="0" w:before="40"/>
      <w:jc w:val="center"/>
    </w:pPr>
    <w:hyperlink w:history="1" r:id="rIdexpjc_2o2jh4w5ctqy_xb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</w:t>
      </w:r>
    </w:hyperlink>
    <w:r>
      <w:rPr>
        <w:rFonts w:ascii="Arial" w:cs="Arial" w:eastAsia="Arial" w:hAnsi="Arial"/>
        <w:color w:val="666666"/>
        <w:sz w:val="16"/>
        <w:szCs w:val="16"/>
      </w:rPr>
      <w:t xml:space="preserve"> — правовая библиотека Кыргызской Республики</w:t>
    </w: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style w:type="paragraph" w:default="1" w:styleId="Normal">
    <w:name w:val="Normal"/>
    <w:qFormat/>
    <w:pPr>
      <w:spacing w:after="120" w:line="276"/>
    </w:pPr>
    <w:rPr>
      <w:rFonts w:ascii="Arial" w:cs="Arial" w:eastAsia="Arial" w:hAnsi="Arial"/>
      <w:sz w:val="24"/>
      <w:szCs w:val="24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7" Type="http://schemas.openxmlformats.org/officeDocument/2006/relationships/footer" Target="footer1.xml"/><Relationship Id="rIdd0ja8f08yb6kzzrk5a08h" Type="http://schemas.openxmlformats.org/officeDocument/2006/relationships/hyperlink" Target="https://dalil.kg/document/230011459" TargetMode="External"/><Relationship Id="rIdpvlz-ipa0k2jw3bzns1vv" Type="http://schemas.openxmlformats.org/officeDocument/2006/relationships/hyperlink" Target="https://dalil.kg/document/230045422" TargetMode="External"/><Relationship Id="rIdfnsib0jctt4maqdqbxbfp" Type="http://schemas.openxmlformats.org/officeDocument/2006/relationships/hyperlink" Target="https://dalil.kg/document/230011836#pr1" TargetMode="External"/><Relationship Id="rIdfu9un6bopx3ves5on2kky" Type="http://schemas.openxmlformats.org/officeDocument/2006/relationships/hyperlink" Target="https://dalil.kg/document/230011836#pr2" TargetMode="External"/><Relationship Id="rId51jbe3g1fqcych_dpysa0" Type="http://schemas.openxmlformats.org/officeDocument/2006/relationships/hyperlink" Target="https://dalil.kg/document/230011836#pr3" TargetMode="External"/><Relationship Id="rIdgk2r0m6gzuzl_nm7u4r9j" Type="http://schemas.openxmlformats.org/officeDocument/2006/relationships/hyperlink" Target="https://dalil.kg/document/230011836#pr2" TargetMode="External"/><Relationship Id="rId3xves0hbcihpx31drqicq" Type="http://schemas.openxmlformats.org/officeDocument/2006/relationships/hyperlink" Target="https://dalil.kg/document/230011836#pr3" TargetMode="External"/><Relationship Id="rIdaa2taprmhs5xpmxqo0jjw" Type="http://schemas.openxmlformats.org/officeDocument/2006/relationships/hyperlink" Target="https://dalil.kg/document/230011836#pr4" TargetMode="External"/><Relationship Id="rId6mvmj8qi1ud8nhw1esyc-" Type="http://schemas.openxmlformats.org/officeDocument/2006/relationships/hyperlink" Target="https://dalil.kg/document/230045422" TargetMode="External"/><Relationship Id="rIdwgt88ovcxwcicqs6zxe8b" Type="http://schemas.openxmlformats.org/officeDocument/2006/relationships/hyperlink" Target="https://dalil.kg/document/230045422" TargetMode="External"/><Relationship Id="rIdwyszsbucoqyqzy3uiya5x" Type="http://schemas.openxmlformats.org/officeDocument/2006/relationships/hyperlink" Target="https://dalil.kg/document/230045422" TargetMode="External"/><Relationship Id="rId1_c3j9hsh3jdj1d5se8kd" Type="http://schemas.openxmlformats.org/officeDocument/2006/relationships/hyperlink" Target="https://dalil.kg/document/230011836#pr5" TargetMode="External"/><Relationship Id="rIdnez3cjvzrcgifhbrjycvd" Type="http://schemas.openxmlformats.org/officeDocument/2006/relationships/hyperlink" Target="https://dalil.kg/document/230045422" TargetMode="External"/><Relationship Id="rIdc0uyp68huql-pmt9-nfmv" Type="http://schemas.openxmlformats.org/officeDocument/2006/relationships/hyperlink" Target="https://dalil.kg/document/230011836#pr6" TargetMode="External"/><Relationship Id="rIdyi9m6waz9ereiiipeus8i" Type="http://schemas.openxmlformats.org/officeDocument/2006/relationships/hyperlink" Target="https://dalil.kg/document/112309" TargetMode="External"/><Relationship Id="rIdspuy8jsiktsqq9dc5daia" Type="http://schemas.openxmlformats.org/officeDocument/2006/relationships/hyperlink" Target="https://dalil.kg/document/112306" TargetMode="External"/><Relationship Id="rId8" Type="http://schemas.openxmlformats.org/officeDocument/2006/relationships/image" Target="media/8de64316e95979c063c17bcd5380dc052a2594e9.png"/><Relationship Id="rId25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er1.xml.rels><?xml version="1.0" encoding="UTF-8"?><Relationships xmlns="http://schemas.openxmlformats.org/package/2006/relationships"><Relationship Id="rIdir0bkqzdbvh-bnb6fmvnk" Type="http://schemas.openxmlformats.org/officeDocument/2006/relationships/hyperlink" Target="https://dalil.kg/document/230011836" TargetMode="External"/><Relationship Id="rIdexpjc_2o2jh4w5ctqy_xb" Type="http://schemas.openxmlformats.org/officeDocument/2006/relationships/hyperlink" Target="https://dalil.kg" TargetMode="External"/></Relationships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Un-named</dc:creator>
  <cp:lastModifiedBy>Un-named</cp:lastModifiedBy>
  <cp:revision>1</cp:revision>
  <dcterms:created xsi:type="dcterms:W3CDTF">2026-09-24T04:44:11.867Z</dcterms:created>
  <dcterms:modified xsi:type="dcterms:W3CDTF">2026-09-24T04:44:11.867Z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