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gweuy2cbyq9nphhyc38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23 августа 2024 года № 497)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4vqxheumalnowdo6aby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l6dysw_bbxx6kxqzdb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z4xxtil5xypuex7ikjd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2026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исполнения требований части 3 </w:t>
      </w:r>
      <w:r>
        <w:rPr>
          <w:rFonts w:ascii="Arial" w:cs="Arial" w:eastAsia="Arial" w:hAnsi="Arial"/>
          <w:sz w:val="24"/>
          <w:szCs w:val="24"/>
        </w:rPr>
        <w:t xml:space="preserve">статьи 187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части 1 </w:t>
      </w:r>
      <w:r>
        <w:rPr>
          <w:rFonts w:ascii="Arial" w:cs="Arial" w:eastAsia="Arial" w:hAnsi="Arial"/>
          <w:sz w:val="24"/>
          <w:szCs w:val="24"/>
        </w:rPr>
        <w:t xml:space="preserve">статьи 14-1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 и устанавливает порядок определения размера среднемесячной заработной платы за прошлый год для применения в следующем календарном году (с 1 января по 31 декабря) при исчислении подоходного налога и страховых взносов по государственному социальному страхованию.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статистический комитет Кыргызской Республики представляет уполномоченному налоговому органу из годовой базы данных статистической отчетности по труду и заработной плате следующие сведения о размерах среднемесячной заработной платы по районам и городам Кыргызской Республики за предыдущий календарный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 среднемесячной заработной платы по районам и городам Кыргызской Республики (за исключением предприятий, осуществляющих деятельность на месторождении "Кумтор"), применяемый для исчисления подоходного налога и страховых взносов по государственному социальному страхованию плательщиками, в том числе зарегистрированными на территориях городов Бишкек, Ош и Джалал-Абад, осуществляющими уплату страховых взносов согласно </w:t>
      </w:r>
      <w:r>
        <w:rPr>
          <w:rFonts w:ascii="Arial" w:cs="Arial" w:eastAsia="Arial" w:hAnsi="Arial"/>
          <w:sz w:val="24"/>
          <w:szCs w:val="24"/>
        </w:rPr>
        <w:t xml:space="preserve">статье 2-2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страхованию", кроме указанных в подпункте 2 настоящего пункта;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среднемесячной заработной платы за исключением предприятий, уровень среднемесячной заработной платы которых более чем на 50 процентов превышает размер среднемесячной заработной платы по республике в целом, для исчисления подоходного налога и страховых взносов по государственному социальному страхованию плательщиками,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2-2</w:t>
      </w:r>
      <w:r>
        <w:rPr>
          <w:rFonts w:ascii="Arial" w:cs="Arial" w:eastAsia="Arial" w:hAnsi="Arial"/>
          <w:sz w:val="24"/>
          <w:szCs w:val="24"/>
        </w:rPr>
        <w:t xml:space="preserve"> (за исключением плательщиков, зарегистрированных на территориях городов Бишкек, Ош и Джалал-Абад), пунктах 1, 2-1, 6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, пункте 1-1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среднемесячной заработной платы по республике за предыдущий календарный год для исчисления добровольной уплаты страховых взносов в соответствии с пунктом 1 </w:t>
      </w:r>
      <w:hyperlink w:history="1" r:id="rId5towjunaff__mglu2dz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тарифах страховых взносов по государственному социальному страхованию" физическими лицами, осуществляющими трудовую деятельность за рубежом."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0eh3xzjspk9latjbpj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ii7nczb8ppcekdxdt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0nulivf7esvvefopymt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2026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Национальный статистический комитет Кыргызской Республики представляет уполномоченному налоговому органу из годовой базы данных статистической отчетности по труду и заработной плате сведения о размерах среднемесячной заработной платы по республике за предыдущий календарный год для определения предельной величины начисленных страховых взносов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февраля 2026 года № 95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налоговый орган ежегодно в срок до 1 ноября текущего года опубликовывает в средствах массовой информации сведения о размерах среднемесячной заработной платы, сложившихся в районах и городах республики за предыдущий календарный год на основании официальной статистической информации Национального статистического комитета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-onmu4tj9mmgbw_tm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dalil.kg/document/230012353</w:t>
      </w:r>
    </w:hyperlink>
  </w:p>
  <w:p>
    <w:pPr>
      <w:spacing w:after="0" w:before="40"/>
      <w:jc w:val="center"/>
    </w:pPr>
    <w:hyperlink w:history="1" r:id="rIduuyhufrbpwumnvlwdrt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euy2cbyq9nphhyc38fz" Type="http://schemas.openxmlformats.org/officeDocument/2006/relationships/hyperlink" Target="https://dalil.kg/document/230012344" TargetMode="External"/><Relationship Id="rId4vqxheumalnowdo6aby__" Type="http://schemas.openxmlformats.org/officeDocument/2006/relationships/hyperlink" Target="https://dalil.kg/document/230020794" TargetMode="External"/><Relationship Id="rIdgl6dysw_bbxx6kxqzdb7b" Type="http://schemas.openxmlformats.org/officeDocument/2006/relationships/hyperlink" Target="https://dalil.kg/document/230042746" TargetMode="External"/><Relationship Id="rIdz4xxtil5xypuex7ikjdig" Type="http://schemas.openxmlformats.org/officeDocument/2006/relationships/hyperlink" Target="https://dalil.kg/document/230049422" TargetMode="External"/><Relationship Id="rId5towjunaff__mglu2dzdt" Type="http://schemas.openxmlformats.org/officeDocument/2006/relationships/hyperlink" Target="https://dalil.kg/document/1393#st_10" TargetMode="External"/><Relationship Id="rIdm0eh3xzjspk9latjbpjbr" Type="http://schemas.openxmlformats.org/officeDocument/2006/relationships/hyperlink" Target="https://dalil.kg/document/230020794" TargetMode="External"/><Relationship Id="rIdneii7nczb8ppcekdxdt0x" Type="http://schemas.openxmlformats.org/officeDocument/2006/relationships/hyperlink" Target="https://dalil.kg/document/230042746" TargetMode="External"/><Relationship Id="rId0nulivf7esvvefopymtbu" Type="http://schemas.openxmlformats.org/officeDocument/2006/relationships/hyperlink" Target="https://dalil.kg/document/2300494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-onmu4tj9mmgbw_tmno" Type="http://schemas.openxmlformats.org/officeDocument/2006/relationships/hyperlink" Target="https://dalil.kg/document/230012353" TargetMode="External"/><Relationship Id="rIduuyhufrbpwumnvlwdrt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2026-09-24T23:02:17.254Z</dcterms:created>
  <dcterms:modified xsi:type="dcterms:W3CDTF">2026-09-24T23:02:17.254Z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