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порядке обращения за назначением и перерасчетом пенсий,</w:t>
      </w:r>
    </w:p>
    <w:p>
      <w:pPr>
        <w:spacing w:after="120"/>
        <w:jc w:val="center"/>
      </w:pPr>
      <w:r>
        <w:rPr>
          <w:rFonts w:ascii="Arial" w:cs="Arial" w:eastAsia="Arial" w:hAnsi="Arial"/>
          <w:b/>
          <w:bCs/>
          <w:sz w:val="24"/>
          <w:szCs w:val="24"/>
        </w:rPr>
        <w:t xml:space="preserve">перехода с одного вида пенсии на другой, а также обращения</w:t>
      </w:r>
    </w:p>
    <w:p>
      <w:pPr>
        <w:spacing w:after="120"/>
        <w:jc w:val="center"/>
      </w:pPr>
      <w:r>
        <w:rPr>
          <w:rFonts w:ascii="Arial" w:cs="Arial" w:eastAsia="Arial" w:hAnsi="Arial"/>
          <w:b/>
          <w:bCs/>
          <w:sz w:val="24"/>
          <w:szCs w:val="24"/>
        </w:rPr>
        <w:t xml:space="preserve">за выплатой ритуального пособия (на погребение)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ltlsh_h92awgrmxjbho_">
        <w:r>
          <w:rPr>
            <w:rFonts w:ascii="Arial" w:cs="Arial" w:eastAsia="Arial" w:hAnsi="Arial"/>
            <w:i/>
            <w:iCs/>
            <w:color w:val="1D4ED8"/>
            <w:sz w:val="24"/>
            <w:szCs w:val="24"/>
            <w:u w:val="single"/>
          </w:rPr>
          <w:t xml:space="preserve">1 сентября 2025 года №</w:t>
        </w:r>
        <w:r>
          <w:rPr>
            <w:rFonts w:ascii="Arial" w:cs="Arial" w:eastAsia="Arial" w:hAnsi="Arial"/>
            <w:i/>
            <w:iCs/>
            <w:color w:val="1D4ED8"/>
            <w:sz w:val="24"/>
            <w:szCs w:val="24"/>
            <w:u w:val="single"/>
          </w:rPr>
          <w:t xml:space="preserve"> 541</w:t>
        </w:r>
      </w:hyperlink>
      <w:r>
        <w:rPr>
          <w:rFonts w:ascii="Arial" w:cs="Arial" w:eastAsia="Arial" w:hAnsi="Arial"/>
          <w:i/>
          <w:iCs/>
          <w:sz w:val="24"/>
          <w:szCs w:val="24"/>
        </w:rPr>
        <w:t xml:space="preserve">, </w:t>
      </w:r>
      <w:hyperlink w:history="1" r:id="rIdpjpqlar4ww8mevic01zun">
        <w:r>
          <w:rPr>
            <w:rFonts w:ascii="Arial" w:cs="Arial" w:eastAsia="Arial" w:hAnsi="Arial"/>
            <w:i/>
            <w:iCs/>
            <w:color w:val="1D4ED8"/>
            <w:sz w:val="24"/>
            <w:szCs w:val="24"/>
            <w:u w:val="single"/>
          </w:rPr>
          <w:t xml:space="preserve">18 июня 2026 года № 426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Порядок обращения за назначением пенсии</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Порядок обращения за перерасчетом пенсии</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Порядок перехода с одного вида пенсии на другой</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Порядок рассмотрения заявления о назначении и перерасчете пенсии, переходе с одного вида пенсии на другой</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Порядок учета и хранения пенсионных дел в региональных органах Социального фонда</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Порядок обращения за выплатой ритуального пособия (на погребение)</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Размеры ритуального пособия (на погребение)</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Случаи, при которых ритуальное пособие (на погребение) не выплачивается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3jq2rqv4dbbz67bbwdt4m">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w:t>
      </w:r>
      <w:hyperlink w:history="1" r:id="rIdw-ql-hwgiyafutadlsit5">
        <w:r>
          <w:rPr>
            <w:rFonts w:ascii="Arial" w:cs="Arial" w:eastAsia="Arial" w:hAnsi="Arial"/>
            <w:color w:val="1D4ED8"/>
            <w:sz w:val="24"/>
            <w:szCs w:val="24"/>
            <w:u w:val="single"/>
          </w:rPr>
          <w:t xml:space="preserve">О персонифицированном (индивидуальном) учете граждан Кыргызской Республики для целей обязательного государственного социального страхования</w:t>
        </w:r>
      </w:hyperlink>
      <w:r>
        <w:rPr>
          <w:rFonts w:ascii="Arial" w:cs="Arial" w:eastAsia="Arial" w:hAnsi="Arial"/>
          <w:sz w:val="24"/>
          <w:szCs w:val="24"/>
        </w:rPr>
        <w:t xml:space="preserve">«, «</w:t>
      </w:r>
      <w:hyperlink w:history="1" r:id="rIdwa3kxraole9ldfhiruijl">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Положение устанавливает правила обращения застрахованных граждан за назначением и перерасчетом пенсии по государственному пенсионному социальному страхованию (далее - пенсия), процедуру рассмотрения этих обращений, порядок перехода с одного вида пенсии на другой, а также обращения заявителей за выплатой ритуального пособия (на погребение) в случае смерти пенсионера либо члена его семьи, находящегося на его иждивении.</w:t>
      </w:r>
    </w:p>
    <w:p>
      <w:pPr>
        <w:spacing w:after="120"/>
        <w:jc w:val="both"/>
      </w:pPr>
      <w:r>
        <w:rPr>
          <w:rFonts w:ascii="Arial" w:cs="Arial" w:eastAsia="Arial" w:hAnsi="Arial"/>
          <w:sz w:val="24"/>
          <w:szCs w:val="24"/>
        </w:rPr>
        <w:t xml:space="preserve">3. Действие настоящего Положения распространяется на застрахованных граждан Кыргызской Республики, иностранных граждан и лиц без гражданства, постоянно проживающих на территории Кыргызской Республики, вносящих взносы на государственное пенсионное социальное страхование на основании и условиях, предусмотренных </w:t>
      </w:r>
      <w:hyperlink w:history="1" r:id="rIdlkq4dj9eqm5dxwbza87l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получающих пенсию или имеющих право на пенсию в Кыргызской Республике в соответствии с </w:t>
      </w:r>
      <w:hyperlink w:history="1" r:id="rIdyrxdwb2htkp1eveucwta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(далее - Закон).</w:t>
      </w:r>
    </w:p>
    <w:p>
      <w:pPr>
        <w:spacing w:after="120"/>
        <w:jc w:val="both"/>
      </w:pPr>
      <w:r>
        <w:rPr>
          <w:rFonts w:ascii="Arial" w:cs="Arial" w:eastAsia="Arial" w:hAnsi="Arial"/>
          <w:sz w:val="24"/>
          <w:szCs w:val="24"/>
        </w:rPr>
        <w:t xml:space="preserve">4. В настоящем Положении используются следующие термины и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застрахованное лицо -</w:t>
      </w:r>
      <w:r>
        <w:rPr>
          <w:rFonts w:ascii="Arial" w:cs="Arial" w:eastAsia="Arial" w:hAnsi="Arial"/>
          <w:sz w:val="24"/>
          <w:szCs w:val="24"/>
        </w:rPr>
        <w:t xml:space="preserve"> физическое лицо, в пользу которого осуществляется государственное социальное страхование;</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персональный идентификационный номер -</w:t>
      </w:r>
      <w:r>
        <w:rPr>
          <w:rFonts w:ascii="Arial" w:cs="Arial" w:eastAsia="Arial" w:hAnsi="Arial"/>
          <w:sz w:val="24"/>
          <w:szCs w:val="24"/>
        </w:rPr>
        <w:t xml:space="preserve"> индивидуальный номер, присваиваемый уполномоченным государственным органом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в сфере персонифицированного (индивидуального) учета граждан, а также о защите прав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3) личный страховой счет – документ, содержащий сведения о застрахованном лице, накапливаемые органом социального страхования за период трудовой и иной деятельности после введения персонифицированного учета (после 1996 года) застрахованного лица и обеспечивающие полноту данных, необходимых для назначения (перерасчета) и определения размера пенсии и других выплат по государственному социальному страхованию. Личный страховой счет имеет персональный идентификационный номер, присвоенный застрахованному лицу;</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персонифицированный учет -</w:t>
      </w:r>
      <w:r>
        <w:rPr>
          <w:rFonts w:ascii="Arial" w:cs="Arial" w:eastAsia="Arial" w:hAnsi="Arial"/>
          <w:sz w:val="24"/>
          <w:szCs w:val="24"/>
        </w:rPr>
        <w:t xml:space="preserve"> организация и ведение учета сведений о каждом застрахованном лице для целей государственного социального страхования;</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пенсионное дело -</w:t>
      </w:r>
      <w:r>
        <w:rPr>
          <w:rFonts w:ascii="Arial" w:cs="Arial" w:eastAsia="Arial" w:hAnsi="Arial"/>
          <w:sz w:val="24"/>
          <w:szCs w:val="24"/>
        </w:rPr>
        <w:t xml:space="preserve"> сброшюрованный комплект документов, на основании которых назначена пенсия застрахованному лицу, обратившемуся за пенсией;</w:t>
      </w:r>
    </w:p>
    <w:p>
      <w:pPr>
        <w:spacing w:after="120"/>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uiesm2jkqhal2xiidhphd">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списки № 1 и № 2 -</w:t>
      </w:r>
      <w:r>
        <w:rPr>
          <w:rFonts w:ascii="Arial" w:cs="Arial" w:eastAsia="Arial" w:hAnsi="Arial"/>
          <w:sz w:val="24"/>
          <w:szCs w:val="24"/>
        </w:rPr>
        <w:t xml:space="preserve"> списки производств, работ, профессий, должностей и показателей, дающих право на льготное пенсионное обеспечение, утвержденные постановлением Правительства Кыргызской Республики «Об утверждении списков производств, работ, профессий, должностей и показателей, дающих право на льготное пенсионное обеспечение» от 1 июля 1996 года № 298;</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заявитель -</w:t>
      </w:r>
      <w:r>
        <w:rPr>
          <w:rFonts w:ascii="Arial" w:cs="Arial" w:eastAsia="Arial" w:hAnsi="Arial"/>
          <w:sz w:val="24"/>
          <w:szCs w:val="24"/>
        </w:rPr>
        <w:t xml:space="preserve"> лицо, фактически осуществившее похороны умершего пенсионера (совершеннолетние члены семьи или другие лица, независимо от степени их родства);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ритуальное пособие (на погребение) -</w:t>
      </w:r>
      <w:r>
        <w:rPr>
          <w:rFonts w:ascii="Arial" w:cs="Arial" w:eastAsia="Arial" w:hAnsi="Arial"/>
          <w:sz w:val="24"/>
          <w:szCs w:val="24"/>
        </w:rPr>
        <w:t xml:space="preserve"> пособие, выдаваемое страхователем в случае смерти пенсионера либо в случае смерти члена семьи, находящегося на его иждивении.</w:t>
      </w:r>
    </w:p>
    <w:p>
      <w:pPr>
        <w:spacing w:after="120"/>
        <w:jc w:val="both"/>
      </w:pPr>
      <w:r>
        <w:rPr>
          <w:rFonts w:ascii="Arial" w:cs="Arial" w:eastAsia="Arial" w:hAnsi="Arial"/>
          <w:i/>
          <w:iCs/>
          <w:sz w:val="24"/>
          <w:szCs w:val="24"/>
        </w:rPr>
        <w:t xml:space="preserve">(В редакции </w:t>
      </w:r>
      <w:hyperlink w:history="1" r:id="rId2qoakenirltyvuth8gbtc">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обращения за назначением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Застрахованные лица, имеющие право на пенсию по возрасту (за исключением имеющих право на пенсию по Списку № 2, за особые условия труда и работников текстильных производств), по инвалидности, по случаю потери кормильца, обращаются с заявлением о назначении пенсии в региональный орган Социального фонда Кыргызской Республики при Кабинете Министров Кыргызской Республики (далее – Социальный фонд) по месту жительства или месту пребывания, а также через «Личный кабинет застрахованного лица» на цифровом портале Социального фонда, при этом идентификация заявителя осуществляется посредством Единой системы идентификации Кыргызской Республики.</w:t>
      </w:r>
    </w:p>
    <w:p>
      <w:pPr>
        <w:spacing w:after="120"/>
        <w:jc w:val="both"/>
      </w:pPr>
      <w:r>
        <w:rPr>
          <w:rFonts w:ascii="Arial" w:cs="Arial" w:eastAsia="Arial" w:hAnsi="Arial"/>
          <w:i/>
          <w:iCs/>
          <w:sz w:val="24"/>
          <w:szCs w:val="24"/>
        </w:rPr>
        <w:t xml:space="preserve">(В редакции </w:t>
      </w:r>
      <w:hyperlink w:history="1" r:id="rIdne6sibb6zmmdi99eij63e">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Застрахованные лица, имеющие право на пенсии по Списку № 2, за особые условия труда, и работники текстильных производств, обращаются с заявлением о назначении пенсии в администрацию предприятия по месту выработки большей части льготного стажа.</w:t>
      </w:r>
    </w:p>
    <w:p>
      <w:pPr>
        <w:spacing w:after="120"/>
        <w:jc w:val="both"/>
      </w:pPr>
      <w:r>
        <w:rPr>
          <w:rFonts w:ascii="Arial" w:cs="Arial" w:eastAsia="Arial" w:hAnsi="Arial"/>
          <w:sz w:val="24"/>
          <w:szCs w:val="24"/>
        </w:rPr>
        <w:t xml:space="preserve">В случае ликвидации, реорганизации предприятия, которое произвело капитализацию и передачу в Социальный фонд средств, предназначенных на выплату льготных пенсий, граждане, выработавшие необходимый стаж работы по Списку № 2, за особые условия труда и работники текстильных производств обращаются с заявлением о назначении пенсии в региональный орган Социального фонда по месту жительства или месту пребывания.</w:t>
      </w:r>
    </w:p>
    <w:p>
      <w:pPr>
        <w:spacing w:after="120"/>
        <w:jc w:val="both"/>
      </w:pPr>
      <w:r>
        <w:rPr>
          <w:rFonts w:ascii="Arial" w:cs="Arial" w:eastAsia="Arial" w:hAnsi="Arial"/>
          <w:sz w:val="24"/>
          <w:szCs w:val="24"/>
        </w:rPr>
        <w:t xml:space="preserve">7. Застрахованные лица, получающие пенсию на льготных условиях на предприятии, обращаются с заявлением о назначении второй страховой части пенсии СП2 в региональный орган Социального фонда по месту жительства или месту пребывания.</w:t>
      </w:r>
    </w:p>
    <w:p>
      <w:pPr>
        <w:spacing w:after="120"/>
        <w:jc w:val="both"/>
      </w:pPr>
      <w:r>
        <w:rPr>
          <w:rFonts w:ascii="Arial" w:cs="Arial" w:eastAsia="Arial" w:hAnsi="Arial"/>
          <w:sz w:val="24"/>
          <w:szCs w:val="24"/>
        </w:rPr>
        <w:t xml:space="preserve">8. Застрахованные лица, выработавшие льготный стаж по Списку № 2, работники текстильных производств и предприятий, входивших в программу «PESAC», и предприятий, ликвидированных до 1996 года без правопреемника и капитализации средств, обращаются с заявлением о назначении пенсии в региональный орган Социального фонда по месту жительства или месту пребывания.</w:t>
      </w:r>
    </w:p>
    <w:p>
      <w:pPr>
        <w:spacing w:after="120"/>
        <w:jc w:val="both"/>
      </w:pPr>
      <w:r>
        <w:rPr>
          <w:rFonts w:ascii="Arial" w:cs="Arial" w:eastAsia="Arial" w:hAnsi="Arial"/>
          <w:sz w:val="24"/>
          <w:szCs w:val="24"/>
        </w:rPr>
        <w:t xml:space="preserve">9. Застрахованные лица, проживающие в домах престарелых и инвалидов, обращаются с заявлением о назначении пенсии в региональный орган Социального фонда по месту нахождения дома престарелых и инвалидов через администрацию этого учреждения.</w:t>
      </w:r>
    </w:p>
    <w:p>
      <w:pPr>
        <w:spacing w:after="120"/>
        <w:jc w:val="both"/>
      </w:pPr>
      <w:r>
        <w:rPr>
          <w:rFonts w:ascii="Arial" w:cs="Arial" w:eastAsia="Arial" w:hAnsi="Arial"/>
          <w:sz w:val="24"/>
          <w:szCs w:val="24"/>
        </w:rPr>
        <w:t xml:space="preserve">10. Застрахованные лица, находящиеся в следственных изоляторах и отбывающие наказание в исправительных учреждениях, обращаются с заявлением о назначении страховой части пенсии в региональный орган Социального фонда по месту жительства через администрацию учреждения или доверенное лицо.</w:t>
      </w:r>
    </w:p>
    <w:p>
      <w:pPr>
        <w:spacing w:after="120"/>
        <w:jc w:val="both"/>
      </w:pPr>
      <w:r>
        <w:rPr>
          <w:rFonts w:ascii="Arial" w:cs="Arial" w:eastAsia="Arial" w:hAnsi="Arial"/>
          <w:sz w:val="24"/>
          <w:szCs w:val="24"/>
        </w:rPr>
        <w:t xml:space="preserve">В целях не допущения назначения и выплаты пенсий для лиц, находящихся в Перечне лиц, причастных к террористической и экстремистской деятельности или распространению оружия массового уничтожения, формируемом в порядке, установленном Кабинетом Министров Кыргызской Республики, осужденным за преступления против половой неприкосновенности и половой свободы ребенка, между Социальным фондом и Службой исполнения наказаний при Министерстве юстиции Кыргызской Республики ежемесячно производится обмен информацией о вступлении в законную силу обвинительного приговора суда и об освобождении от отбывания наказания.</w:t>
      </w:r>
    </w:p>
    <w:p>
      <w:pPr>
        <w:spacing w:after="120"/>
        <w:jc w:val="both"/>
      </w:pPr>
      <w:r>
        <w:rPr>
          <w:rFonts w:ascii="Arial" w:cs="Arial" w:eastAsia="Arial" w:hAnsi="Arial"/>
          <w:sz w:val="24"/>
          <w:szCs w:val="24"/>
        </w:rPr>
        <w:t xml:space="preserve">11. В тех случаях, когда лицо, которому назначается пенсия, является несовершеннолетним или недееспособным, заявление о назначении пенсии подается в региональный орган Социального фонда по месту жительства или месту пребывания его родителями (усыновителями, опекунами, попечителями). При этом, если родители (усыновители, опекуны, попечители) несовершеннолетнего или недееспособного лица проживают раздельно, то заявление подается по месту жительства или месту пребывания родителем (усыновителем, опекуном, попечителем), с которым проживает несовершеннолетнее или недееспособное лицо.</w:t>
      </w:r>
    </w:p>
    <w:p>
      <w:pPr>
        <w:spacing w:after="120"/>
        <w:jc w:val="both"/>
      </w:pPr>
      <w:r>
        <w:rPr>
          <w:rFonts w:ascii="Arial" w:cs="Arial" w:eastAsia="Arial" w:hAnsi="Arial"/>
          <w:sz w:val="24"/>
          <w:szCs w:val="24"/>
        </w:rPr>
        <w:t xml:space="preserve">В том случае, если законным представителем несовершеннолетнего или недееспособного лица является соответствующее учреждение, в котором несовершеннолетнее или недееспособное лицо постоянно пребывает, заявление о назначении пенсии подается в региональный орган Социального фонда по месту нахождения этого учреждения.</w:t>
      </w:r>
    </w:p>
    <w:p>
      <w:pPr>
        <w:spacing w:after="120"/>
        <w:jc w:val="both"/>
      </w:pPr>
      <w:r>
        <w:rPr>
          <w:rFonts w:ascii="Arial" w:cs="Arial" w:eastAsia="Arial" w:hAnsi="Arial"/>
          <w:sz w:val="24"/>
          <w:szCs w:val="24"/>
        </w:rPr>
        <w:t xml:space="preserve">Несовершеннолетний, достигший 16-ти лет, вправе обратиться за назначением пенсии по случаю потери кормильца самостоятельно в региональный орган Социального фонда по месту жительства или месту пребывания в соответствии с настоящим Положением.</w:t>
      </w:r>
    </w:p>
    <w:p>
      <w:pPr>
        <w:spacing w:after="120"/>
        <w:jc w:val="both"/>
      </w:pPr>
      <w:r>
        <w:rPr>
          <w:rFonts w:ascii="Arial" w:cs="Arial" w:eastAsia="Arial" w:hAnsi="Arial"/>
          <w:sz w:val="24"/>
          <w:szCs w:val="24"/>
        </w:rPr>
        <w:t xml:space="preserve">12. Застрахованные лица могут обращаться за назначением пенсии в любое время после возникновения права на нее, установленного Законом Кыргызской Республики «О государственном пенсионном социальном страховании», без ограничения каким-либо сроком.</w:t>
      </w:r>
    </w:p>
    <w:p>
      <w:pPr>
        <w:spacing w:after="120"/>
        <w:jc w:val="both"/>
      </w:pPr>
      <w:r>
        <w:rPr>
          <w:rFonts w:ascii="Arial" w:cs="Arial" w:eastAsia="Arial" w:hAnsi="Arial"/>
          <w:sz w:val="24"/>
          <w:szCs w:val="24"/>
        </w:rPr>
        <w:t xml:space="preserve">Заявление о назначении пенсии по возрасту, в том числе и на льготных условиях, может быть подано и до наступления пенсионного возраста, но не ранее чем за шесть месяцев до возникновения права на эту пенсию.</w:t>
      </w:r>
    </w:p>
    <w:p>
      <w:pPr>
        <w:spacing w:after="120"/>
        <w:jc w:val="both"/>
      </w:pPr>
      <w:r>
        <w:rPr>
          <w:rFonts w:ascii="Arial" w:cs="Arial" w:eastAsia="Arial" w:hAnsi="Arial"/>
          <w:sz w:val="24"/>
          <w:szCs w:val="24"/>
        </w:rPr>
        <w:t xml:space="preserve">Днем обращения застрахованного лица за назначением пенсии считается день приема органом, назначающим пенсию, заявления о назначении пенсии со всеми необходимыми документами или через «Личный кабинет застрахованного лица» на цифровом портале Социального фонда. Если указанное заявление пересылается по почте и при этом прилагаются все необходимые документы, то днем обращения за пенсией считается дата, указанная на почтовом штемпеле места отправления данного заявления.</w:t>
      </w:r>
    </w:p>
    <w:p>
      <w:pPr>
        <w:spacing w:after="120"/>
        <w:jc w:val="both"/>
      </w:pPr>
      <w:r>
        <w:rPr>
          <w:rFonts w:ascii="Arial" w:cs="Arial" w:eastAsia="Arial" w:hAnsi="Arial"/>
          <w:i/>
          <w:iCs/>
          <w:sz w:val="24"/>
          <w:szCs w:val="24"/>
        </w:rPr>
        <w:t xml:space="preserve">(В редакции </w:t>
      </w:r>
      <w:hyperlink w:history="1" r:id="rId9misv9igr9n9oy7bvixdu">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В заявлении о назначении пенсии должен быть указан персональный идентификационный номер застрахованного лица и данные его паспорта.</w:t>
      </w:r>
    </w:p>
    <w:p>
      <w:pPr>
        <w:spacing w:after="120"/>
        <w:jc w:val="both"/>
      </w:pPr>
      <w:r>
        <w:rPr>
          <w:rFonts w:ascii="Arial" w:cs="Arial" w:eastAsia="Arial" w:hAnsi="Arial"/>
          <w:sz w:val="24"/>
          <w:szCs w:val="24"/>
        </w:rPr>
        <w:t xml:space="preserve">14. К заявлению о назначении пенсии прилагаются необходимые документы и сведения согласно Перечню документов, необходимых для назначения и перерасчета пенсии, перехода с одного вида пенсии на другой, а также выплаты ритуального пособия (на погребение), утвержденному Кабинетом Министров Кыргызской Республики (далее – Перечень).</w:t>
      </w:r>
    </w:p>
    <w:p>
      <w:pPr>
        <w:spacing w:after="120"/>
        <w:jc w:val="both"/>
      </w:pPr>
      <w:r>
        <w:rPr>
          <w:rFonts w:ascii="Arial" w:cs="Arial" w:eastAsia="Arial" w:hAnsi="Arial"/>
          <w:i/>
          <w:iCs/>
          <w:sz w:val="24"/>
          <w:szCs w:val="24"/>
        </w:rPr>
        <w:t xml:space="preserve">(В редакции </w:t>
      </w:r>
      <w:hyperlink w:history="1" r:id="rIdnimqew5tstd3eayucpfni">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Доступные сведения в цифровом виде, необходимые для назначения и перерасчета пенсии, перехода с одного вида пенсии на другой, а также выплаты ритуального пособия (на погребение) в соответствии с настоящим Положением, запрашиваются органами Социального фонда через систему цифрового взаимодействия «Тундук» (далее – СЦВ «Тундук») на безвозмездной основе, если иное не установлено законодательством Кыргызской Республики.</w:t>
      </w:r>
    </w:p>
    <w:p>
      <w:pPr>
        <w:spacing w:after="120"/>
        <w:jc w:val="both"/>
      </w:pPr>
      <w:r>
        <w:rPr>
          <w:rFonts w:ascii="Arial" w:cs="Arial" w:eastAsia="Arial" w:hAnsi="Arial"/>
          <w:sz w:val="24"/>
          <w:szCs w:val="24"/>
        </w:rPr>
        <w:t xml:space="preserve">В случаях, предусмотренных законодательством Кыргызской Республики, а также при отсутствии необходимых сведений в системе персонифицированного учета либо невозможности получения таких сведений через СЦВ «Тундук» из-за технической неготовности информационных систем государственных органов застрахованные лица обращаются в региональные органы Социального фонда либо через «Личный кабинет застрахованного лица» на цифровом портале Социального фонда для предоставления необходимых документов.</w:t>
      </w:r>
    </w:p>
    <w:p>
      <w:pPr>
        <w:spacing w:after="120"/>
        <w:jc w:val="both"/>
      </w:pPr>
      <w:r>
        <w:rPr>
          <w:rFonts w:ascii="Arial" w:cs="Arial" w:eastAsia="Arial" w:hAnsi="Arial"/>
          <w:sz w:val="24"/>
          <w:szCs w:val="24"/>
        </w:rPr>
        <w:t xml:space="preserve">Идентификация заявителя осуществляется посредством Единой системы идентификации Кыргызской Республики, а при личном обращении – на основании документа, удостоверяющего личность, предусмотренного пунктом 1</w:t>
      </w:r>
      <w:r>
        <w:rPr>
          <w:rFonts w:ascii="Arial" w:cs="Arial" w:eastAsia="Arial" w:hAnsi="Arial"/>
          <w:sz w:val="24"/>
          <w:szCs w:val="24"/>
        </w:rPr>
        <w:t xml:space="preserve">1</w:t>
      </w:r>
      <w:r>
        <w:rPr>
          <w:rFonts w:ascii="Arial" w:cs="Arial" w:eastAsia="Arial" w:hAnsi="Arial"/>
          <w:sz w:val="24"/>
          <w:szCs w:val="24"/>
        </w:rPr>
        <w:t xml:space="preserve"> Перечня.</w:t>
      </w:r>
    </w:p>
    <w:p>
      <w:pPr>
        <w:spacing w:after="120"/>
        <w:jc w:val="both"/>
      </w:pPr>
      <w:r>
        <w:rPr>
          <w:rFonts w:ascii="Arial" w:cs="Arial" w:eastAsia="Arial" w:hAnsi="Arial"/>
          <w:i/>
          <w:iCs/>
          <w:sz w:val="24"/>
          <w:szCs w:val="24"/>
        </w:rPr>
        <w:t xml:space="preserve">(В редакции </w:t>
      </w:r>
      <w:hyperlink w:history="1" r:id="rIdhxukq_v1egbipz1n-eymm">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Сведения, полученные органами Социального фонда через СЦВ «Тундук», считаются достоверными, действительными и приравниваются к документам на бумажном носителе.</w:t>
      </w:r>
    </w:p>
    <w:p>
      <w:pPr>
        <w:spacing w:after="120"/>
        <w:jc w:val="both"/>
      </w:pPr>
      <w:r>
        <w:rPr>
          <w:rFonts w:ascii="Arial" w:cs="Arial" w:eastAsia="Arial" w:hAnsi="Arial"/>
          <w:i/>
          <w:iCs/>
          <w:sz w:val="24"/>
          <w:szCs w:val="24"/>
        </w:rPr>
        <w:t xml:space="preserve">(В редакции </w:t>
      </w:r>
      <w:hyperlink w:history="1" r:id="rIdtsratc_nonaz2hyas483e">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В случае если в представленных документах для назначения пенсии и данных персонифицированного учета отсутствуют необходимые сведения для назначения пенсии, региональный орган Социального фонда, назначающий пенсию, в течение 5 (пять) рабочих дней направляет работодателю или в компетентный орган запрос о предоставлении информации о трудовой деятельности и сведений о страховом стаже либо сведения запрашиваются через СЦВ «Тундук».</w:t>
      </w:r>
    </w:p>
    <w:p>
      <w:pPr>
        <w:spacing w:after="120"/>
        <w:jc w:val="both"/>
      </w:pPr>
      <w:r>
        <w:rPr>
          <w:rFonts w:ascii="Arial" w:cs="Arial" w:eastAsia="Arial" w:hAnsi="Arial"/>
          <w:sz w:val="24"/>
          <w:szCs w:val="24"/>
        </w:rPr>
        <w:t xml:space="preserve">Региональные органы Социального фонда обязаны консультировать и оказывать помощь застрахованному лицу при обращении за назначением пенсии.</w:t>
      </w:r>
    </w:p>
    <w:p>
      <w:pPr>
        <w:spacing w:after="120"/>
        <w:jc w:val="both"/>
      </w:pPr>
      <w:r>
        <w:rPr>
          <w:rFonts w:ascii="Arial" w:cs="Arial" w:eastAsia="Arial" w:hAnsi="Arial"/>
          <w:i/>
          <w:iCs/>
          <w:sz w:val="24"/>
          <w:szCs w:val="24"/>
        </w:rPr>
        <w:t xml:space="preserve">(В редакции </w:t>
      </w:r>
      <w:hyperlink w:history="1" r:id="rIdbzxwflimju2d7yxclofho">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Застрахованное лицо, обратившееся за пенсией, имеет право заблаговременно ознакомиться со сведениями, содержащимися в его личном страховом счете в порядке, предусмотренном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spacing w:after="120"/>
        <w:jc w:val="both"/>
      </w:pPr>
      <w:r>
        <w:rPr>
          <w:rFonts w:ascii="Arial" w:cs="Arial" w:eastAsia="Arial" w:hAnsi="Arial"/>
          <w:sz w:val="24"/>
          <w:szCs w:val="24"/>
        </w:rPr>
        <w:t xml:space="preserve">17. Пенсионеры, переселившиеся из государств-участников Соглашения о гарантиях прав граждан государств-участников Содружества Независимых Государств в области пенсионного обеспечения от 13 марта 1992 года, обращаются с заявлением о назначении пенсии в региональные органы Социального фонда по месту жительства или месту пребывания. На основании заявления региональным органом Социального фонда делается запрос пенсионного дела с прежнего места жительства пенсионера. При наличии у заявителя пенсионного дела, оно прилагается к заявлению.</w:t>
      </w:r>
    </w:p>
    <w:p>
      <w:pPr>
        <w:spacing w:after="120"/>
        <w:jc w:val="both"/>
      </w:pPr>
      <w:r>
        <w:rPr>
          <w:rFonts w:ascii="Arial" w:cs="Arial" w:eastAsia="Arial" w:hAnsi="Arial"/>
          <w:sz w:val="24"/>
          <w:szCs w:val="24"/>
        </w:rPr>
        <w:t xml:space="preserve">18. В случае если размер предполагаемой или назначенной пенсии по инвалидности ниже размера ежемесячного социального пособия лицам с ограниченными возможностями здоровья, то застрахованному лицу, имеющему право на пенсию по инвалидности, или пенсионеру предоставляется однократно право выбора пенсии по инвалидности или ежемесячного социального пособия лицам с ограниченными возможностями здоровья.</w:t>
      </w:r>
    </w:p>
    <w:p>
      <w:pPr>
        <w:spacing w:after="120"/>
        <w:jc w:val="both"/>
      </w:pPr>
      <w:r>
        <w:rPr>
          <w:rFonts w:ascii="Arial" w:cs="Arial" w:eastAsia="Arial" w:hAnsi="Arial"/>
          <w:sz w:val="24"/>
          <w:szCs w:val="24"/>
        </w:rPr>
        <w:t xml:space="preserve">19. В случаях, предусмотренных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 пенсия по инвалидности продолжает выплачиваться до первого числа месяца, следующего за месяцем, в котором назначено ежемесячное социальное пособие лицам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обращения за перерасчетом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Пенсионеры подают заявление на перерасчет пенсии в случаях:</w:t>
      </w:r>
    </w:p>
    <w:p>
      <w:pPr>
        <w:spacing w:after="120"/>
        <w:jc w:val="both"/>
      </w:pPr>
      <w:r>
        <w:rPr>
          <w:rFonts w:ascii="Arial" w:cs="Arial" w:eastAsia="Arial" w:hAnsi="Arial"/>
          <w:sz w:val="24"/>
          <w:szCs w:val="24"/>
        </w:rPr>
        <w:t xml:space="preserve">1) представления дополнительных сведений о страховом стаже до выхода на пенсию;</w:t>
      </w:r>
    </w:p>
    <w:p>
      <w:pPr>
        <w:spacing w:after="120"/>
        <w:jc w:val="both"/>
      </w:pPr>
      <w:r>
        <w:rPr>
          <w:rFonts w:ascii="Arial" w:cs="Arial" w:eastAsia="Arial" w:hAnsi="Arial"/>
          <w:sz w:val="24"/>
          <w:szCs w:val="24"/>
        </w:rPr>
        <w:t xml:space="preserve">2) представления документов, дающих право на начисление надбавок, предусмотренных </w:t>
      </w:r>
      <w:hyperlink w:history="1" r:id="rId2idp2taiqid047plvlgf_">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3) изменения числа иждивенцев (в случае назначения пенсии по потере кормильца).</w:t>
      </w:r>
    </w:p>
    <w:p>
      <w:pPr>
        <w:spacing w:after="120"/>
        <w:jc w:val="both"/>
      </w:pPr>
      <w:r>
        <w:rPr>
          <w:rFonts w:ascii="Arial" w:cs="Arial" w:eastAsia="Arial" w:hAnsi="Arial"/>
          <w:sz w:val="24"/>
          <w:szCs w:val="24"/>
        </w:rPr>
        <w:t xml:space="preserve">21. Пенсионеры или администрация учреждений, в случае проживания пенсионеров в домах престарелых и инвалидов, отбывания ими наказания в исправительных учреждениях, подают заявление на перерасчет пенсии вместе с необходимыми документами в региональный орган Социального фонда, где находится пенсионное дело пенсионера.</w:t>
      </w:r>
    </w:p>
    <w:p>
      <w:pPr>
        <w:spacing w:after="120"/>
        <w:jc w:val="both"/>
      </w:pPr>
      <w:r>
        <w:rPr>
          <w:rFonts w:ascii="Arial" w:cs="Arial" w:eastAsia="Arial" w:hAnsi="Arial"/>
          <w:sz w:val="24"/>
          <w:szCs w:val="24"/>
        </w:rPr>
        <w:t xml:space="preserve">22. К заявлению о перерасчете пенсии должны быть приложены документы, подтверждающие право на перерасчет пенсии, согласно Перечню, утверждаемому Кабинетом Министров Кыргызской Республики.</w:t>
      </w:r>
    </w:p>
    <w:p>
      <w:pPr>
        <w:spacing w:after="120"/>
        <w:jc w:val="both"/>
      </w:pPr>
      <w:r>
        <w:rPr>
          <w:rFonts w:ascii="Arial" w:cs="Arial" w:eastAsia="Arial" w:hAnsi="Arial"/>
          <w:sz w:val="24"/>
          <w:szCs w:val="24"/>
        </w:rPr>
        <w:t xml:space="preserve">23. Без истребования письменного заявления перерасчет размера установленной пенсии производится в случаях:</w:t>
      </w:r>
    </w:p>
    <w:p>
      <w:pPr>
        <w:spacing w:after="120"/>
        <w:jc w:val="both"/>
      </w:pPr>
      <w:r>
        <w:rPr>
          <w:rFonts w:ascii="Arial" w:cs="Arial" w:eastAsia="Arial" w:hAnsi="Arial"/>
          <w:sz w:val="24"/>
          <w:szCs w:val="24"/>
        </w:rPr>
        <w:t xml:space="preserve">1) принятия, соответствующих нормативных правовых актов Кыргызской Республики об индексации или повышении размера пенсии;</w:t>
      </w:r>
    </w:p>
    <w:p>
      <w:pPr>
        <w:spacing w:after="120"/>
        <w:jc w:val="both"/>
      </w:pPr>
      <w:r>
        <w:rPr>
          <w:rFonts w:ascii="Arial" w:cs="Arial" w:eastAsia="Arial" w:hAnsi="Arial"/>
          <w:sz w:val="24"/>
          <w:szCs w:val="24"/>
        </w:rPr>
        <w:t xml:space="preserve">2) изменения группы инвалидности;</w:t>
      </w:r>
    </w:p>
    <w:p>
      <w:pPr>
        <w:spacing w:after="120"/>
        <w:jc w:val="both"/>
      </w:pPr>
      <w:r>
        <w:rPr>
          <w:rFonts w:ascii="Arial" w:cs="Arial" w:eastAsia="Arial" w:hAnsi="Arial"/>
          <w:sz w:val="24"/>
          <w:szCs w:val="24"/>
        </w:rPr>
        <w:t xml:space="preserve">3) достижения пенсионером возраста 80 лет;</w:t>
      </w:r>
    </w:p>
    <w:p>
      <w:pPr>
        <w:spacing w:after="120"/>
        <w:jc w:val="both"/>
      </w:pPr>
      <w:r>
        <w:rPr>
          <w:rFonts w:ascii="Arial" w:cs="Arial" w:eastAsia="Arial" w:hAnsi="Arial"/>
          <w:sz w:val="24"/>
          <w:szCs w:val="24"/>
        </w:rPr>
        <w:t xml:space="preserve">4) достижения одним из иждивенцев возраста 18 лет (учащимся образовательных организаций всех уровней образования, в том числе в иностранных образовательных учреждениях за пределами Кыргызской Республики, до окончания обучения, но не более чем достижения ими возраста 23 лет);</w:t>
      </w:r>
    </w:p>
    <w:p>
      <w:pPr>
        <w:spacing w:after="120"/>
        <w:jc w:val="both"/>
      </w:pPr>
      <w:r>
        <w:rPr>
          <w:rFonts w:ascii="Arial" w:cs="Arial" w:eastAsia="Arial" w:hAnsi="Arial"/>
          <w:sz w:val="24"/>
          <w:szCs w:val="24"/>
        </w:rPr>
        <w:t xml:space="preserve">5) перерасчета второй страховой части пенсии от накопленных страховых взносов за отчетный период, а также за период, прошедший со дня назначения пенсии, пенсионерам, состоящим на персонифицированном (индивидуальном) учете и уплачивающим страховые взносы.</w:t>
      </w:r>
    </w:p>
    <w:p>
      <w:pPr>
        <w:spacing w:after="120"/>
        <w:jc w:val="both"/>
      </w:pPr>
      <w:r>
        <w:rPr>
          <w:rFonts w:ascii="Arial" w:cs="Arial" w:eastAsia="Arial" w:hAnsi="Arial"/>
          <w:i/>
          <w:iCs/>
          <w:sz w:val="24"/>
          <w:szCs w:val="24"/>
        </w:rPr>
        <w:t xml:space="preserve">(В редакции </w:t>
      </w:r>
      <w:hyperlink w:history="1" r:id="rId-vbzrj7un1xxztolu6hhe">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перехода с одного вида пенсии на другой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Пенсионеры или администрация учреждений, в случае проживания пенсионеров в домах престарелых и инвалидов, отбывания ими наказания в исправительных учреждениях, подают заявление о переходе с одного вида пенсии на другой вместе с необходимыми документами в региональный орган Социального фонда по местонахождению пенсионного дела.</w:t>
      </w:r>
    </w:p>
    <w:p>
      <w:pPr>
        <w:spacing w:after="120"/>
        <w:jc w:val="both"/>
      </w:pPr>
      <w:r>
        <w:rPr>
          <w:rFonts w:ascii="Arial" w:cs="Arial" w:eastAsia="Arial" w:hAnsi="Arial"/>
          <w:sz w:val="24"/>
          <w:szCs w:val="24"/>
        </w:rPr>
        <w:t xml:space="preserve">25. При переходе с одного вида пенсии на другой назначение нового вида пенсии производится с первого числа месяца, следующего за месяцем обращения.</w:t>
      </w:r>
    </w:p>
    <w:p>
      <w:pPr>
        <w:spacing w:after="120"/>
        <w:jc w:val="both"/>
      </w:pPr>
      <w:r>
        <w:rPr>
          <w:rFonts w:ascii="Arial" w:cs="Arial" w:eastAsia="Arial" w:hAnsi="Arial"/>
          <w:sz w:val="24"/>
          <w:szCs w:val="24"/>
        </w:rPr>
        <w:t xml:space="preserve">26. При переходе с одного вида пенсии на другой назначение нового вида пенсии осуществляется органом Социального фонда на основании заявления пенсионера и документов, заново представленных для назначения пенсии, или документов, имеющихся в пенсионном деле.</w:t>
      </w:r>
    </w:p>
    <w:p>
      <w:pPr>
        <w:spacing w:after="120"/>
        <w:jc w:val="both"/>
      </w:pPr>
      <w:r>
        <w:rPr>
          <w:rFonts w:ascii="Arial" w:cs="Arial" w:eastAsia="Arial" w:hAnsi="Arial"/>
          <w:sz w:val="24"/>
          <w:szCs w:val="24"/>
        </w:rPr>
        <w:t xml:space="preserve">27. При переходе с одного вида пенсии на другой по имеющимся в пенсионном деле документам сохраняются все ранее произведенные перерасчеты пенсии, а в случае предоставления пенсионером дополнительных документов о стаже, пенсия исчисляется на условиях нового назначения.</w:t>
      </w:r>
    </w:p>
    <w:p>
      <w:pPr>
        <w:spacing w:after="120"/>
        <w:jc w:val="both"/>
      </w:pPr>
      <w:r>
        <w:rPr>
          <w:rFonts w:ascii="Arial" w:cs="Arial" w:eastAsia="Arial" w:hAnsi="Arial"/>
          <w:sz w:val="24"/>
          <w:szCs w:val="24"/>
        </w:rPr>
        <w:t xml:space="preserve">28. В случае если пенсионеры, перешедшие с одного вида пенсии на другой, впоследствии обращаются с заявлением о переводе их на прежний вид пенсии, то она восстанавливается в прежнем размере.</w:t>
      </w:r>
    </w:p>
    <w:p>
      <w:pPr>
        <w:spacing w:after="120"/>
        <w:jc w:val="both"/>
      </w:pPr>
      <w:r>
        <w:rPr>
          <w:rFonts w:ascii="Arial" w:cs="Arial" w:eastAsia="Arial" w:hAnsi="Arial"/>
          <w:sz w:val="24"/>
          <w:szCs w:val="24"/>
        </w:rPr>
        <w:t xml:space="preserve">29. Пенсионеры, пенсия которым назначена органами Социального фонда в соответствии с </w:t>
      </w:r>
      <w:hyperlink w:history="1" r:id="rIdtw3v5zs7hrlkortgaypu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также имеют право обратиться с заявлением со всеми необходимыми документами о переходе на пенсию по Закону в соответствии с настоящим Положением.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рассмотрения заявления о</w:t>
      </w:r>
    </w:p>
    <w:p>
      <w:pPr>
        <w:spacing w:after="120"/>
        <w:jc w:val="center"/>
      </w:pPr>
      <w:r>
        <w:rPr>
          <w:rFonts w:ascii="Arial" w:cs="Arial" w:eastAsia="Arial" w:hAnsi="Arial"/>
          <w:b/>
          <w:bCs/>
          <w:sz w:val="24"/>
          <w:szCs w:val="24"/>
        </w:rPr>
        <w:t xml:space="preserve">назначении и перерасчете пенсии, переходе</w:t>
      </w:r>
    </w:p>
    <w:p>
      <w:pPr>
        <w:spacing w:after="120"/>
        <w:jc w:val="center"/>
      </w:pPr>
      <w:r>
        <w:rPr>
          <w:rFonts w:ascii="Arial" w:cs="Arial" w:eastAsia="Arial" w:hAnsi="Arial"/>
          <w:b/>
          <w:bCs/>
          <w:sz w:val="24"/>
          <w:szCs w:val="24"/>
        </w:rPr>
        <w:t xml:space="preserve">с одного вида пенсии на другой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Назначение пенсии осуществляется на основании заявления. Документы и сведения, необходимые для назначения пенсии, прилагаются в случаях и порядке, предусмотренных настоящим Положением.</w:t>
      </w:r>
    </w:p>
    <w:p>
      <w:pPr>
        <w:spacing w:after="120"/>
        <w:jc w:val="both"/>
      </w:pPr>
      <w:r>
        <w:rPr>
          <w:rFonts w:ascii="Arial" w:cs="Arial" w:eastAsia="Arial" w:hAnsi="Arial"/>
          <w:i/>
          <w:iCs/>
          <w:sz w:val="24"/>
          <w:szCs w:val="24"/>
        </w:rPr>
        <w:t xml:space="preserve">(В редакции </w:t>
      </w:r>
      <w:hyperlink w:history="1" r:id="rIdvncw8ejgyatmawdm9knfd">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При приеме документов для назначения, перерасчета пенсии, перехода с одного вида пенсии на другой орган, назначающий пенсию, проверяет правильность оформления заявления; соответствие внесенных данных из документа, удостоверяющего личность заявителя; сличает копии документов с подлинниками; регистрирует заявление в тот же день в журнале регистрации с указанием порядкового номера и даты приема заявления и выдает расписку в получении документов, в которой указываются дата приема заявления, перечень недостающих документов и сроки их представления.</w:t>
      </w:r>
    </w:p>
    <w:p>
      <w:pPr>
        <w:spacing w:after="120"/>
        <w:jc w:val="both"/>
      </w:pPr>
      <w:r>
        <w:rPr>
          <w:rFonts w:ascii="Arial" w:cs="Arial" w:eastAsia="Arial" w:hAnsi="Arial"/>
          <w:sz w:val="24"/>
          <w:szCs w:val="24"/>
        </w:rPr>
        <w:t xml:space="preserve">32. Заявление о назначении пенсии или переходе с одного вида пенсии на другой рассматривается в течение 15 дней со дня приема этого заявления либо со дня представления недостающих документов. В случае отказа в удовлетворении указанного заявления орган, назначающий пенсию, не позднее пяти дней после вынесения соответствующего решения извещает об этом заявителя с указанием причины отказа и порядка обжалования и одновременно возвращает заявителю документы.</w:t>
      </w:r>
    </w:p>
    <w:p>
      <w:pPr>
        <w:spacing w:after="120"/>
        <w:jc w:val="both"/>
      </w:pPr>
      <w:r>
        <w:rPr>
          <w:rFonts w:ascii="Arial" w:cs="Arial" w:eastAsia="Arial" w:hAnsi="Arial"/>
          <w:sz w:val="24"/>
          <w:szCs w:val="24"/>
        </w:rPr>
        <w:t xml:space="preserve">33. Заявление пенсионера о перерасчете пенсии рассматривается в течение пяти дней со дня приема заявления со всеми необходимыми документами. В случае отказа в перерасчете пенсии орган, назначающий пенсию, не позднее пяти дней после вынесения соответствующего решения извещает об этом заявителя с указанием причины отказа и порядка обжалования и одновременно возвращает заявителю документы.</w:t>
      </w:r>
    </w:p>
    <w:p>
      <w:pPr>
        <w:spacing w:after="120"/>
        <w:jc w:val="both"/>
      </w:pPr>
      <w:r>
        <w:rPr>
          <w:rFonts w:ascii="Arial" w:cs="Arial" w:eastAsia="Arial" w:hAnsi="Arial"/>
          <w:sz w:val="24"/>
          <w:szCs w:val="24"/>
        </w:rPr>
        <w:t xml:space="preserve">34. После проверки документов и сверки с копиями, подлинники документов (паспорт, свидетельства о браке, рождении детей, диплом и др.) возвращаются заявителю, а трудовая книжка возвращается ему после назначения пенсии. При этом в трудовой книжке обязательно должен быть проставлен штамп органа Социального фонда о назначении пенсии (с указанием вида пенсии и даты назначения).</w:t>
      </w:r>
    </w:p>
    <w:p>
      <w:pPr>
        <w:spacing w:after="120"/>
        <w:jc w:val="both"/>
      </w:pPr>
      <w:r>
        <w:rPr>
          <w:rFonts w:ascii="Arial" w:cs="Arial" w:eastAsia="Arial" w:hAnsi="Arial"/>
          <w:sz w:val="24"/>
          <w:szCs w:val="24"/>
        </w:rPr>
        <w:t xml:space="preserve">35. Пенсионное удостоверение выдается заявителю региональным органом Социального фонда, а также через центры обслуживания населения после вынесения решения о назначении пенсии. Размер и дата назначения пенсии подтверждаются соответствующей записью в пенсионном удостоверении, скрепленной печатью.</w:t>
      </w:r>
    </w:p>
    <w:p>
      <w:pPr>
        <w:spacing w:after="120"/>
        <w:jc w:val="both"/>
      </w:pPr>
      <w:r>
        <w:rPr>
          <w:rFonts w:ascii="Arial" w:cs="Arial" w:eastAsia="Arial" w:hAnsi="Arial"/>
          <w:sz w:val="24"/>
          <w:szCs w:val="24"/>
        </w:rPr>
        <w:t xml:space="preserve">Лицам, получающим пенсию на предприятии (по Списку № 2, за особые условия труда и работникам текстильных производств) пенсионное удостоверение выдается региональным органом Социального фонда по месту жительства пенсионера на основании справки администрации предприятия, где назначена льготная пенсия.</w:t>
      </w:r>
    </w:p>
    <w:p>
      <w:pPr>
        <w:spacing w:after="120"/>
        <w:jc w:val="both"/>
      </w:pPr>
      <w:r>
        <w:rPr>
          <w:rFonts w:ascii="Arial" w:cs="Arial" w:eastAsia="Arial" w:hAnsi="Arial"/>
          <w:sz w:val="24"/>
          <w:szCs w:val="24"/>
        </w:rPr>
        <w:t xml:space="preserve">36. Размер пенсии после перерасчета с указанием даты перерасчета вносится в пенсионное удостоверение при обращении пенсионера в региональный орган Социального фонда.</w:t>
      </w:r>
    </w:p>
    <w:p>
      <w:pPr>
        <w:spacing w:after="120"/>
        <w:jc w:val="both"/>
      </w:pPr>
      <w:r>
        <w:rPr>
          <w:rFonts w:ascii="Arial" w:cs="Arial" w:eastAsia="Arial" w:hAnsi="Arial"/>
          <w:sz w:val="24"/>
          <w:szCs w:val="24"/>
        </w:rPr>
        <w:t xml:space="preserve">37. После назначения пенсии при устном и письменном обращении пенсионера Социальный фонд предоставляет получателю пенсии информацию о назначении пенсии для ознакомления с произведенными расчетами размера пенсии.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Порядок учета и хранения пенсионных дел в</w:t>
      </w:r>
    </w:p>
    <w:p>
      <w:pPr>
        <w:spacing w:after="120"/>
        <w:jc w:val="center"/>
      </w:pPr>
      <w:r>
        <w:rPr>
          <w:rFonts w:ascii="Arial" w:cs="Arial" w:eastAsia="Arial" w:hAnsi="Arial"/>
          <w:b/>
          <w:bCs/>
          <w:sz w:val="24"/>
          <w:szCs w:val="24"/>
        </w:rPr>
        <w:t xml:space="preserve">региональных органах Социального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Пенсионное дело, сформированное на каждого получателя пенсии, хранится в органе, назначающем пенсию, по месту получения пенсии.</w:t>
      </w:r>
    </w:p>
    <w:p>
      <w:pPr>
        <w:spacing w:after="120"/>
        <w:jc w:val="both"/>
      </w:pPr>
      <w:r>
        <w:rPr>
          <w:rFonts w:ascii="Arial" w:cs="Arial" w:eastAsia="Arial" w:hAnsi="Arial"/>
          <w:sz w:val="24"/>
          <w:szCs w:val="24"/>
        </w:rPr>
        <w:t xml:space="preserve">39. При смене пенсионером места жительства в пределах Кыргызской Республики пенсионное дело пересылается по почте на основании запроса регионального органа Социального фонда по месту нового места жительства пенсионера, подготовленного в соответствии с заявлением пенсионера и документами о его регистрации по новому месту жительства или сведениями об адресе места фактического проживания.</w:t>
      </w:r>
    </w:p>
    <w:p>
      <w:pPr>
        <w:spacing w:after="120"/>
        <w:jc w:val="both"/>
      </w:pPr>
      <w:r>
        <w:rPr>
          <w:rFonts w:ascii="Arial" w:cs="Arial" w:eastAsia="Arial" w:hAnsi="Arial"/>
          <w:sz w:val="24"/>
          <w:szCs w:val="24"/>
        </w:rPr>
        <w:t xml:space="preserve">40. Пенсионные дела лиц, выехавших на жительство в государства-участники Соглашения о гарантиях прав граждан государств-участников Содружества Независимых Государств в области пенсионного обеспечения от 13 марта 1992 года и в государства-участники двусторонних договоров о социальном (пенсионном) обеспечении, могут направляться органам, осуществляющим пенсионное обеспечение на территории соответствующего государства, в порядке, установленном договаривающимися сторонами.</w:t>
      </w:r>
    </w:p>
    <w:p>
      <w:pPr>
        <w:spacing w:after="120"/>
        <w:jc w:val="both"/>
      </w:pPr>
      <w:r>
        <w:rPr>
          <w:rFonts w:ascii="Arial" w:cs="Arial" w:eastAsia="Arial" w:hAnsi="Arial"/>
          <w:sz w:val="24"/>
          <w:szCs w:val="24"/>
        </w:rPr>
        <w:t xml:space="preserve">41. При выезде пенсионера на постоянное жительство за пределы территории Кыргызской Республики в государства, с которыми не заключены международные договоры о социальном (пенсионном) обеспечении, пенсионное дело не пересылается и хранится в региональном органе Социального фонда.</w:t>
      </w:r>
    </w:p>
    <w:p>
      <w:pPr>
        <w:spacing w:after="120"/>
        <w:jc w:val="both"/>
      </w:pPr>
      <w:r>
        <w:rPr>
          <w:rFonts w:ascii="Arial" w:cs="Arial" w:eastAsia="Arial" w:hAnsi="Arial"/>
          <w:sz w:val="24"/>
          <w:szCs w:val="24"/>
        </w:rPr>
        <w:t xml:space="preserve">42. В случае утраты пенсионного дела региональный орган Социального фонда принимает меры к его восстановлению.</w:t>
      </w:r>
    </w:p>
    <w:p>
      <w:pPr>
        <w:spacing w:after="120"/>
        <w:jc w:val="both"/>
      </w:pPr>
      <w:r>
        <w:rPr>
          <w:rFonts w:ascii="Arial" w:cs="Arial" w:eastAsia="Arial" w:hAnsi="Arial"/>
          <w:sz w:val="24"/>
          <w:szCs w:val="24"/>
        </w:rPr>
        <w:t xml:space="preserve">43. В случаях прекращения выплаты пенсии (выбытие, смерть пенсионера, окончание срока установления инвалидности, учебы и т.д.) пенсионные дела закрываются и передаются в архив в установленном порядке.</w:t>
      </w:r>
    </w:p>
    <w:p>
      <w:pPr>
        <w:spacing w:after="120"/>
        <w:jc w:val="both"/>
      </w:pPr>
      <w:r>
        <w:rPr>
          <w:rFonts w:ascii="Arial" w:cs="Arial" w:eastAsia="Arial" w:hAnsi="Arial"/>
          <w:sz w:val="24"/>
          <w:szCs w:val="24"/>
        </w:rPr>
        <w:t xml:space="preserve">44. Действующие пенсионные дела хранятся отдельно от закрытых пенсионных дел по участкам, видам пенсии и по порядку номеров.</w:t>
      </w:r>
    </w:p>
    <w:p>
      <w:pPr>
        <w:spacing w:after="120"/>
        <w:jc w:val="both"/>
      </w:pPr>
      <w:r>
        <w:rPr>
          <w:rFonts w:ascii="Arial" w:cs="Arial" w:eastAsia="Arial" w:hAnsi="Arial"/>
          <w:sz w:val="24"/>
          <w:szCs w:val="24"/>
        </w:rPr>
        <w:t xml:space="preserve">Закрытые пенсионные дела хранятся в архиве в соответствии с порядком, установленном для хранения архивных материалов в органах Социального фонда.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обращения за выплатой</w:t>
      </w:r>
    </w:p>
    <w:p>
      <w:pPr>
        <w:spacing w:after="120"/>
        <w:jc w:val="center"/>
      </w:pPr>
      <w:r>
        <w:rPr>
          <w:rFonts w:ascii="Arial" w:cs="Arial" w:eastAsia="Arial" w:hAnsi="Arial"/>
          <w:b/>
          <w:bCs/>
          <w:sz w:val="24"/>
          <w:szCs w:val="24"/>
        </w:rPr>
        <w:t xml:space="preserve">ритуального пособия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Заявитель подает заявление на выплату ритуального пособия (на погребение) в региональные органы Социального фонда по месту нахождения пенсионного дела.</w:t>
      </w:r>
    </w:p>
    <w:p>
      <w:pPr>
        <w:spacing w:after="120"/>
        <w:jc w:val="both"/>
      </w:pPr>
      <w:r>
        <w:rPr>
          <w:rFonts w:ascii="Arial" w:cs="Arial" w:eastAsia="Arial" w:hAnsi="Arial"/>
          <w:sz w:val="24"/>
          <w:szCs w:val="24"/>
        </w:rPr>
        <w:t xml:space="preserve">46. Если похороны пенсионера, проживавшего в доме престарелых и инвалидов, осуществлялись социальным стационарным учреждением, то социальные стационарные учреждения обращаются за выплатой ритуального пособия (на погребение) в региональные органы Социального фонда.</w:t>
      </w:r>
    </w:p>
    <w:p>
      <w:pPr>
        <w:spacing w:after="120"/>
        <w:jc w:val="both"/>
      </w:pPr>
      <w:r>
        <w:rPr>
          <w:rFonts w:ascii="Arial" w:cs="Arial" w:eastAsia="Arial" w:hAnsi="Arial"/>
          <w:sz w:val="24"/>
          <w:szCs w:val="24"/>
        </w:rPr>
        <w:t xml:space="preserve">47. Если похороны пенсионера, находившегося в местах отбывания наказаний, осуществлялись учреждением исполнения наказаний, то учреждения исполнения наказаний обращаются за выплатой ритуального пособия (на погребение) в региональные органы Социального фонда.</w:t>
      </w:r>
    </w:p>
    <w:p>
      <w:pPr>
        <w:spacing w:after="120"/>
        <w:jc w:val="both"/>
      </w:pPr>
      <w:r>
        <w:rPr>
          <w:rFonts w:ascii="Arial" w:cs="Arial" w:eastAsia="Arial" w:hAnsi="Arial"/>
          <w:sz w:val="24"/>
          <w:szCs w:val="24"/>
        </w:rPr>
        <w:t xml:space="preserve">48. Обращения, предусмотренные пунктами </w:t>
      </w:r>
      <w:r>
        <w:rPr>
          <w:rFonts w:ascii="Arial" w:cs="Arial" w:eastAsia="Arial" w:hAnsi="Arial"/>
          <w:sz w:val="24"/>
          <w:szCs w:val="24"/>
        </w:rPr>
        <w:t xml:space="preserve">45</w:t>
      </w:r>
      <w:r>
        <w:rPr>
          <w:rFonts w:ascii="Arial" w:cs="Arial" w:eastAsia="Arial" w:hAnsi="Arial"/>
          <w:sz w:val="24"/>
          <w:szCs w:val="24"/>
        </w:rPr>
        <w:t xml:space="preserve">-</w:t>
      </w:r>
      <w:r>
        <w:rPr>
          <w:rFonts w:ascii="Arial" w:cs="Arial" w:eastAsia="Arial" w:hAnsi="Arial"/>
          <w:sz w:val="24"/>
          <w:szCs w:val="24"/>
        </w:rPr>
        <w:t xml:space="preserve">47</w:t>
      </w:r>
      <w:r>
        <w:rPr>
          <w:rFonts w:ascii="Arial" w:cs="Arial" w:eastAsia="Arial" w:hAnsi="Arial"/>
          <w:sz w:val="24"/>
          <w:szCs w:val="24"/>
        </w:rPr>
        <w:t xml:space="preserve"> настоящего Положения, производятся с предоставлением соответствующих документов (письменное обращение с приложением копии свидетельства о смерти).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nugfpm29q6zqyvxped2ma">
        <w:r>
          <w:rPr>
            <w:rFonts w:ascii="Arial" w:cs="Arial" w:eastAsia="Arial" w:hAnsi="Arial"/>
            <w:i/>
            <w:iCs/>
            <w:color w:val="1D4ED8"/>
            <w:sz w:val="24"/>
            <w:szCs w:val="24"/>
            <w:u w:val="single"/>
          </w:rPr>
          <w:t xml:space="preserve">1 сентября 2025 года №</w:t>
        </w:r>
        <w:r>
          <w:rPr>
            <w:rFonts w:ascii="Arial" w:cs="Arial" w:eastAsia="Arial" w:hAnsi="Arial"/>
            <w:i/>
            <w:iCs/>
            <w:color w:val="1D4ED8"/>
            <w:sz w:val="24"/>
            <w:szCs w:val="24"/>
            <w:u w:val="single"/>
          </w:rPr>
          <w:t xml:space="preserve"> 541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49. Региональные органы Социального фонда производят перечисление суммы ритуального пособия (на погребение) в банк на расчетный счет социального или исправительного учреждения.</w:t>
      </w:r>
    </w:p>
    <w:p>
      <w:pPr>
        <w:spacing w:after="120"/>
        <w:jc w:val="both"/>
      </w:pPr>
      <w:r>
        <w:rPr>
          <w:rFonts w:ascii="Arial" w:cs="Arial" w:eastAsia="Arial" w:hAnsi="Arial"/>
          <w:sz w:val="24"/>
          <w:szCs w:val="24"/>
        </w:rPr>
        <w:t xml:space="preserve">50. Заявитель вправе уполномочить другое лицо на получение ритуального пособия (на погребение), с выдачей этому лицу доверенности, оформленной согласно требованиям гражданского законодательства Кыргызской Республики (в случае болезни, недееспособности или выезда заявителя, в том числе и за пределы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Размеры ритуального пособия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Ритуальное пособие (на погребение) выплачивается из средств Пенсионного фонда в размере:</w:t>
      </w:r>
    </w:p>
    <w:p>
      <w:pPr>
        <w:spacing w:after="120"/>
        <w:jc w:val="both"/>
      </w:pPr>
      <w:r>
        <w:rPr>
          <w:rFonts w:ascii="Arial" w:cs="Arial" w:eastAsia="Arial" w:hAnsi="Arial"/>
          <w:sz w:val="24"/>
          <w:szCs w:val="24"/>
        </w:rPr>
        <w:t xml:space="preserve">1) 300 расчетных показателей - по случаю смерти пенсионера, пенсия которому была назначена в соответствии с Законом;</w:t>
      </w:r>
    </w:p>
    <w:p>
      <w:pPr>
        <w:spacing w:after="120"/>
        <w:jc w:val="both"/>
      </w:pPr>
      <w:r>
        <w:rPr>
          <w:rFonts w:ascii="Arial" w:cs="Arial" w:eastAsia="Arial" w:hAnsi="Arial"/>
          <w:sz w:val="24"/>
          <w:szCs w:val="24"/>
        </w:rPr>
        <w:t xml:space="preserve">2) 100 расчетных показателей -  по случаю смерти члена семьи, состоявшего на иждивении пенсионера, пенсия которым была назначена в соответствии с Законом.</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pvvvne_9bwckx6a74akiu">
        <w:r>
          <w:rPr>
            <w:rFonts w:ascii="Arial" w:cs="Arial" w:eastAsia="Arial" w:hAnsi="Arial"/>
            <w:i/>
            <w:iCs/>
            <w:color w:val="1D4ED8"/>
            <w:sz w:val="24"/>
            <w:szCs w:val="24"/>
            <w:u w:val="single"/>
          </w:rPr>
          <w:t xml:space="preserve">1 сентября 2025 года №</w:t>
        </w:r>
        <w:r>
          <w:rPr>
            <w:rFonts w:ascii="Arial" w:cs="Arial" w:eastAsia="Arial" w:hAnsi="Arial"/>
            <w:i/>
            <w:iCs/>
            <w:color w:val="1D4ED8"/>
            <w:sz w:val="24"/>
            <w:szCs w:val="24"/>
            <w:u w:val="single"/>
          </w:rPr>
          <w:t xml:space="preserve"> 541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Для лиц, проживавших и работавших в высокогорных и отдаленных труднодоступных зонах, где установлены коэффициенты доплаты к заработной плате, размер ритуального пособия (на погребение) выплачивается без применения этих коэффициентов.</w:t>
      </w:r>
    </w:p>
    <w:p>
      <w:pPr>
        <w:spacing w:after="120"/>
        <w:jc w:val="both"/>
      </w:pPr>
      <w:r>
        <w:rPr>
          <w:rFonts w:ascii="Arial" w:cs="Arial" w:eastAsia="Arial" w:hAnsi="Arial"/>
          <w:sz w:val="24"/>
          <w:szCs w:val="24"/>
        </w:rPr>
        <w:t xml:space="preserve">53. Ответственность за своевременность назначения и выплаты ритуального пособия (на погребение) пенсионера или члена семьи, состоявшего на его иждивении, несет уполномоченный государственный орган в сфере государственного социального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Случаи, при которых ритуальное пособие</w:t>
      </w:r>
    </w:p>
    <w:p>
      <w:pPr>
        <w:spacing w:after="120"/>
        <w:jc w:val="center"/>
      </w:pPr>
      <w:r>
        <w:rPr>
          <w:rFonts w:ascii="Arial" w:cs="Arial" w:eastAsia="Arial" w:hAnsi="Arial"/>
          <w:b/>
          <w:bCs/>
          <w:sz w:val="24"/>
          <w:szCs w:val="24"/>
        </w:rPr>
        <w:t xml:space="preserve">(на погребение) не выплачивается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Ритуальное пособие (на погребение) не выплачивается:</w:t>
      </w:r>
    </w:p>
    <w:p>
      <w:pPr>
        <w:spacing w:after="120"/>
        <w:jc w:val="both"/>
      </w:pPr>
      <w:r>
        <w:rPr>
          <w:rFonts w:ascii="Arial" w:cs="Arial" w:eastAsia="Arial" w:hAnsi="Arial"/>
          <w:sz w:val="24"/>
          <w:szCs w:val="24"/>
        </w:rPr>
        <w:t xml:space="preserve">1) пенсионерам, признанным безвестно отсутствующими и объявленным судом умершими;</w:t>
      </w:r>
    </w:p>
    <w:p>
      <w:pPr>
        <w:spacing w:after="120"/>
        <w:jc w:val="both"/>
      </w:pPr>
      <w:r>
        <w:rPr>
          <w:rFonts w:ascii="Arial" w:cs="Arial" w:eastAsia="Arial" w:hAnsi="Arial"/>
          <w:sz w:val="24"/>
          <w:szCs w:val="24"/>
        </w:rPr>
        <w:t xml:space="preserve">2) в случае обращения заявителя по истечении трех лет со дня смерти пенсионера.</w:t>
      </w:r>
    </w:p>
    <w:p>
      <w:pPr>
        <w:spacing w:after="120"/>
        <w:jc w:val="both"/>
      </w:pPr>
      <w:r>
        <w:rPr>
          <w:rFonts w:ascii="Arial" w:cs="Arial" w:eastAsia="Arial" w:hAnsi="Arial"/>
          <w:i/>
          <w:iCs/>
          <w:sz w:val="24"/>
          <w:szCs w:val="24"/>
        </w:rPr>
        <w:t xml:space="preserve">(Абзац второй утратил силу в соответствии с </w:t>
      </w:r>
      <w:hyperlink w:history="1" r:id="rIdc1mh8yalmypv8lrzgap4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18 июня 2026 года № 426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ku-_tmozpks7cclyrna4">
        <w:r>
          <w:rPr>
            <w:rFonts w:ascii="Arial" w:cs="Arial" w:eastAsia="Arial" w:hAnsi="Arial"/>
            <w:i/>
            <w:iCs/>
            <w:color w:val="1D4ED8"/>
            <w:sz w:val="24"/>
            <w:szCs w:val="24"/>
            <w:u w:val="single"/>
          </w:rPr>
          <w:t xml:space="preserve">1 сентября 2025 года №</w:t>
        </w:r>
        <w:r>
          <w:rPr>
            <w:rFonts w:ascii="Arial" w:cs="Arial" w:eastAsia="Arial" w:hAnsi="Arial"/>
            <w:i/>
            <w:iCs/>
            <w:color w:val="1D4ED8"/>
            <w:sz w:val="24"/>
            <w:szCs w:val="24"/>
            <w:u w:val="single"/>
          </w:rPr>
          <w:t xml:space="preserve"> 541</w:t>
        </w:r>
      </w:hyperlink>
      <w:r>
        <w:rPr>
          <w:rFonts w:ascii="Arial" w:cs="Arial" w:eastAsia="Arial" w:hAnsi="Arial"/>
          <w:i/>
          <w:iCs/>
          <w:sz w:val="24"/>
          <w:szCs w:val="24"/>
        </w:rPr>
        <w:t xml:space="preserve">, </w:t>
      </w:r>
      <w:hyperlink w:history="1" r:id="rId8s1fnhbj_h4vr6svzlrn4">
        <w:r>
          <w:rPr>
            <w:rFonts w:ascii="Arial" w:cs="Arial" w:eastAsia="Arial" w:hAnsi="Arial"/>
            <w:i/>
            <w:iCs/>
            <w:color w:val="1D4ED8"/>
            <w:sz w:val="24"/>
            <w:szCs w:val="24"/>
            <w:u w:val="single"/>
          </w:rPr>
          <w:t xml:space="preserve">18 июня 2026 года № 426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ky4l39oo1owi5c9lsez">
      <w:r>
        <w:rPr>
          <w:rFonts w:ascii="Arial" w:cs="Arial" w:eastAsia="Arial" w:hAnsi="Arial"/>
          <w:color w:val="132D3F"/>
          <w:sz w:val="16"/>
          <w:szCs w:val="16"/>
          <w:u w:val="single"/>
        </w:rPr>
        <w:t xml:space="preserve">dalil.kg/document/230012442</w:t>
      </w:r>
    </w:hyperlink>
  </w:p>
  <w:p>
    <w:pPr>
      <w:spacing w:after="0" w:before="40"/>
      <w:jc w:val="center"/>
    </w:pPr>
    <w:hyperlink w:history="1" r:id="rIdewrvp9r9biirxwp2pr8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tlsh_h92awgrmxjbho_" Type="http://schemas.openxmlformats.org/officeDocument/2006/relationships/hyperlink" Target="https://dalil.kg/document/230030748" TargetMode="External"/><Relationship Id="rIdpjpqlar4ww8mevic01zun" Type="http://schemas.openxmlformats.org/officeDocument/2006/relationships/hyperlink" Target="https://dalil.kg/document/230047580" TargetMode="External"/><Relationship Id="rId3jq2rqv4dbbz67bbwdt4m" Type="http://schemas.openxmlformats.org/officeDocument/2006/relationships/hyperlink" Target="https://dalil.kg/document/557" TargetMode="External"/><Relationship Id="rIdw-ql-hwgiyafutadlsit5" Type="http://schemas.openxmlformats.org/officeDocument/2006/relationships/hyperlink" Target="https://dalil.kg/document/161" TargetMode="External"/><Relationship Id="rIdwa3kxraole9ldfhiruijl" Type="http://schemas.openxmlformats.org/officeDocument/2006/relationships/hyperlink" Target="https://dalil.kg/document/627" TargetMode="External"/><Relationship Id="rIdlkq4dj9eqm5dxwbza87lt" Type="http://schemas.openxmlformats.org/officeDocument/2006/relationships/hyperlink" Target="https://dalil.kg/document/627" TargetMode="External"/><Relationship Id="rIdyrxdwb2htkp1eveucwtam" Type="http://schemas.openxmlformats.org/officeDocument/2006/relationships/hyperlink" Target="https://dalil.kg/document/557" TargetMode="External"/><Relationship Id="rIduiesm2jkqhal2xiidhphd" Type="http://schemas.openxmlformats.org/officeDocument/2006/relationships/hyperlink" Target="https://dalil.kg/document/230047580" TargetMode="External"/><Relationship Id="rId2qoakenirltyvuth8gbtc" Type="http://schemas.openxmlformats.org/officeDocument/2006/relationships/hyperlink" Target="https://dalil.kg/document/230047580" TargetMode="External"/><Relationship Id="rIdne6sibb6zmmdi99eij63e" Type="http://schemas.openxmlformats.org/officeDocument/2006/relationships/hyperlink" Target="https://dalil.kg/document/230047580" TargetMode="External"/><Relationship Id="rId9misv9igr9n9oy7bvixdu" Type="http://schemas.openxmlformats.org/officeDocument/2006/relationships/hyperlink" Target="https://dalil.kg/document/230047580" TargetMode="External"/><Relationship Id="rIdnimqew5tstd3eayucpfni" Type="http://schemas.openxmlformats.org/officeDocument/2006/relationships/hyperlink" Target="https://dalil.kg/document/230047580" TargetMode="External"/><Relationship Id="rIdhxukq_v1egbipz1n-eymm" Type="http://schemas.openxmlformats.org/officeDocument/2006/relationships/hyperlink" Target="https://dalil.kg/document/230047580" TargetMode="External"/><Relationship Id="rIdtsratc_nonaz2hyas483e" Type="http://schemas.openxmlformats.org/officeDocument/2006/relationships/hyperlink" Target="https://dalil.kg/document/230047580" TargetMode="External"/><Relationship Id="rIdbzxwflimju2d7yxclofho" Type="http://schemas.openxmlformats.org/officeDocument/2006/relationships/hyperlink" Target="https://dalil.kg/document/230047580" TargetMode="External"/><Relationship Id="rId2idp2taiqid047plvlgf_" Type="http://schemas.openxmlformats.org/officeDocument/2006/relationships/hyperlink" Target="https://dalil.kg/document/557#st_13" TargetMode="External"/><Relationship Id="rId-vbzrj7un1xxztolu6hhe" Type="http://schemas.openxmlformats.org/officeDocument/2006/relationships/hyperlink" Target="https://dalil.kg/document/230047580" TargetMode="External"/><Relationship Id="rIdtw3v5zs7hrlkortgaypu6" Type="http://schemas.openxmlformats.org/officeDocument/2006/relationships/hyperlink" Target="https://dalil.kg/document/690" TargetMode="External"/><Relationship Id="rIdvncw8ejgyatmawdm9knfd" Type="http://schemas.openxmlformats.org/officeDocument/2006/relationships/hyperlink" Target="https://dalil.kg/document/230047580" TargetMode="External"/><Relationship Id="rIdnugfpm29q6zqyvxped2ma" Type="http://schemas.openxmlformats.org/officeDocument/2006/relationships/hyperlink" Target="https://dalil.kg/document/230030748" TargetMode="External"/><Relationship Id="rIdpvvvne_9bwckx6a74akiu" Type="http://schemas.openxmlformats.org/officeDocument/2006/relationships/hyperlink" Target="https://dalil.kg/document/230030748" TargetMode="External"/><Relationship Id="rIdc1mh8yalmypv8lrzgap4k" Type="http://schemas.openxmlformats.org/officeDocument/2006/relationships/hyperlink" Target="https://dalil.kg/document/230047580" TargetMode="External"/><Relationship Id="rIdkku-_tmozpks7cclyrna4" Type="http://schemas.openxmlformats.org/officeDocument/2006/relationships/hyperlink" Target="https://dalil.kg/document/230030748" TargetMode="External"/><Relationship Id="rId8s1fnhbj_h4vr6svzlrn4" Type="http://schemas.openxmlformats.org/officeDocument/2006/relationships/hyperlink" Target="https://dalil.kg/document/230047580"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ky4l39oo1owi5c9lsez" Type="http://schemas.openxmlformats.org/officeDocument/2006/relationships/hyperlink" Target="https://dalil.kg/document/230012442" TargetMode="External"/><Relationship Id="rIdewrvp9r9biirxwp2pr8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2026-09-25T03:12:13.666Z</dcterms:created>
  <dcterms:modified xsi:type="dcterms:W3CDTF">2026-09-25T03:12:13.666Z</dcterms:modified>
</cp:coreProperties>
</file>

<file path=docProps/custom.xml><?xml version="1.0" encoding="utf-8"?>
<Properties xmlns="http://schemas.openxmlformats.org/officeDocument/2006/custom-properties" xmlns:vt="http://schemas.openxmlformats.org/officeDocument/2006/docPropsVTypes"/>
</file>