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марта 2024 года № 21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Календарном плане основных организационно-практических мероприятий по подготовке и проведению досрочных выборов депутата Жогорку Кенеша Кыргызской Республики по Ошскому одномандатному избирательному округу № 7, назначенных на 28 апреля 2024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статьями </w:t>
      </w:r>
      <w:hyperlink w:history="1" r:id="rIdichfwsvyvt4ymgxykgl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4uqyz86fjd0pycs7cp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17avpqgb3vbgd_kfsu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в целях организации подготовки к проведению досрочных выборов депутата Жогорку Кенеша Кыргызской Республики по Ошскому № 7 одномандатному избирательному округу, назначенных Указом Президента Кыргызской Республики "О назначении досрочных выборов депутата Жогорку Кенеша Кыргызской Республики по Ошскому одномандатному избирательному округу № 7" от 14 марта 2024 года № 77,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r>
        <w:rPr>
          <w:rFonts w:ascii="Arial" w:cs="Arial" w:eastAsia="Arial" w:hAnsi="Arial"/>
          <w:sz w:val="24"/>
          <w:szCs w:val="24"/>
        </w:rPr>
        <w:t xml:space="preserve">Календарный план</w:t>
      </w:r>
      <w:r>
        <w:rPr>
          <w:rFonts w:ascii="Arial" w:cs="Arial" w:eastAsia="Arial" w:hAnsi="Arial"/>
          <w:sz w:val="24"/>
          <w:szCs w:val="24"/>
        </w:rPr>
        <w:t xml:space="preserve"> основных организационно-практических мероприятий по подготовке и проведению досрочных выборов депутата Жогорку Кенеша Кыргызской Республики по Ошскому № 7 одномандатному избирательному округу, назначенных на 28 апреля 2024 года (прилагается).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 выборам и проведению референдумов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Утвержден
  постановлением Центральной комиссии по выборам и проведению референдумов Кыргызской Республики
  от 14 марта 2024 года № 21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КАЛЕНДАРНЫЙ ПЛАН
  основных организационно-практических мероприятий по подготовке и проведению досрочных выборов депутата Жогорку Кенеша Кыргызской Республики по Ошскому одномандатному избирательному округу № 7, назначенных на 28 апреля 2024 года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День выборов - 28 апреля 2024 года,
  воскресенье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5"/>
        <w:gridCol w:w="3513"/>
        <w:gridCol w:w="2548"/>
        <w:gridCol w:w="3602"/>
      </w:tblGrid>
      <w:tr>
        <w:tc>
          <w:tcPr>
            <w:tcW w:type="dxa" w:w="5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5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Содержание мероприятий</w:t>
            </w:r>
          </w:p>
        </w:tc>
        <w:tc>
          <w:tcPr>
            <w:tcW w:type="dxa" w:w="25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36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за исполнение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Обращение Центральной комиссии по выборам и проведению референдумов Кыргызской Республики к избирателям, политическим партиям, средствам массовой информации (далее - СМИ), членам избирательных комиссий и участникам избирательного процесса</w:t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назначения досрочных выборов</w:t>
            </w:r>
          </w:p>
        </w:tc>
        <w:tc>
          <w:tcPr>
            <w:tcW w:type="dxa" w:w="3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комиссия по выборам и проведению референдумов Кыргызской Республики (далее - ЦИК)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Информационный отдел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Информационное обеспечение выборов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Сообщение о проведении досрочных выборов в средствах массовой информации</w:t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чем через 2 календарных дня со дня назначения</w:t>
            </w:r>
          </w:p>
        </w:tc>
        <w:tc>
          <w:tcPr>
            <w:tcW w:type="dxa" w:w="3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ЦИК, информационный отдел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ч.2 </w:t>
            </w:r>
            <w:hyperlink w:history="1" r:id="rIduytzm3saghy39ad8f2gc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ст.63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 "О выборах Президента Кыргызской Республики и депутатов Жогорку Кенеша Кыргызской Республики" (далее - конституционный Закон)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Обращение Центральной избирательной комиссии к СМИ об аккредитации для участия в предвыборной агитации</w:t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официального опубликования постановления Центральной избирательной комиссии</w:t>
            </w:r>
          </w:p>
        </w:tc>
        <w:tc>
          <w:tcPr>
            <w:tcW w:type="dxa" w:w="3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ЦИК, информационный отдел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СМИ, интернет-изданиями в ЦИК сведений о размере и других условиях оплаты за предоставление эфирного времени, печатной площади или права публикации в интернет-издании</w:t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13 календарных дней со дня официального опубликования решения о назначении досрочных выборов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(по 26 марта 2024 г. (включительно)</w:t>
            </w:r>
          </w:p>
        </w:tc>
        <w:tc>
          <w:tcPr>
            <w:tcW w:type="dxa" w:w="3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ЦИК, Рабочая группа, информационный отдел, СМИ, интернет-издания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ч.20 </w:t>
            </w:r>
            <w:hyperlink w:history="1" r:id="rIdk5ofelgqfcuzk3ldj4-l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ст.22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Опубликование ЦИК на официальном сайте сведений о размере и других условиях оплаты за предоставление эфирного времени, печатной площади или права публикации в интернет-издании</w:t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17 дней со дня официального опубликования решения о назначении досрочных выборов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(до 31 марта 2024 г.)</w:t>
            </w:r>
          </w:p>
        </w:tc>
        <w:tc>
          <w:tcPr>
            <w:tcW w:type="dxa" w:w="3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ЦИК, информационный отдел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ч.20 </w:t>
            </w:r>
            <w:hyperlink w:history="1" r:id="rId-h71kj9fo7xbu1di1s5h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ст.22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Помещение для голосования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карты потребностей избирателей с ограниченными возможностями здоровья</w:t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40 календарных дней до дня выборов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(до 19 марта 2024 г.)</w:t>
            </w:r>
          </w:p>
        </w:tc>
        <w:tc>
          <w:tcPr>
            <w:tcW w:type="dxa" w:w="3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ОИК, УИК, мэрия г.Ош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ч.6 </w:t>
            </w:r>
            <w:hyperlink w:history="1" r:id="rIdsfghm5tyi8g9srofccwf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ст.29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помещений для голосования на соответствие потребностям избирателей с ограниченными возможностями здоровья, указанным в карте потребностей</w:t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33 календарных дней до дня голосования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(до 26 марта 2024 г.)</w:t>
            </w:r>
          </w:p>
        </w:tc>
        <w:tc>
          <w:tcPr>
            <w:tcW w:type="dxa" w:w="3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ОИК, УИК, ОМСУ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ч.6 </w:t>
            </w:r>
            <w:hyperlink w:history="1" r:id="rIdtzvmgvmx5cc9ujmfdqrw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ст.29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в ОМСУ обращения принять меры по обеспечению доступности помещения для голосования для лиц с ограниченными возможностями здоровья</w:t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27 календарных дней до дня выборов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(до 1 апреля 2024 г.)</w:t>
            </w:r>
          </w:p>
        </w:tc>
        <w:tc>
          <w:tcPr>
            <w:tcW w:type="dxa" w:w="3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ОИК, УИК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ч.6 </w:t>
            </w:r>
            <w:hyperlink w:history="1" r:id="rIdzscoq5ilbtdeb5_y2daf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ст.29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Списки избирателей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на государственном портале tizme.gov.kg предварительных списков избирателей, в разрезе округов, участков</w:t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53 календарных дней до дня голосования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(до 6 марта 2024 г.)</w:t>
            </w:r>
          </w:p>
        </w:tc>
        <w:tc>
          <w:tcPr>
            <w:tcW w:type="dxa" w:w="3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цифрового развития, ЦИК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ч.4 </w:t>
            </w:r>
            <w:hyperlink w:history="1" r:id="rIdru_-of4z8wo_fld4ybeh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ст.14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в участковые избирательные комиссии предварительных списков избирателей</w:t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17 марта 2024 г.</w:t>
            </w:r>
          </w:p>
        </w:tc>
        <w:tc>
          <w:tcPr>
            <w:tcW w:type="dxa" w:w="3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ЦИК, ОИК, УИК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Вывешивание в УИКах предварительных списков избирателей для ознакомления избирателями</w:t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18 марта 2024 г.</w:t>
            </w:r>
          </w:p>
        </w:tc>
        <w:tc>
          <w:tcPr>
            <w:tcW w:type="dxa" w:w="3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Вывешивание в УИКах контрольных списков избирателей для ознакомления избирателями</w:t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20 календарных дней до дня голосования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(до 8 апреля 2024 г.)</w:t>
            </w:r>
          </w:p>
        </w:tc>
        <w:tc>
          <w:tcPr>
            <w:tcW w:type="dxa" w:w="3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ч.4 </w:t>
            </w:r>
            <w:hyperlink w:history="1" r:id="rIdmtaqpsriqhrmktq2fbm-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списков избирателей, находящихся в день голосования в стационарных лечебно-профилактических учреждениях, в местах содержания под стражей в качестве подозреваемых и обвиняемых, на предприятиях с непрерывным циклом работы (вахтовые работы), военнослужащих срочной службы, военнослужащих и членов их семей и других лиц, проживающих в воинских частях и передача их в уполномоченный государственный орган и соответствующую УИК</w:t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8 календарных дней до дня голосования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(по 19 апреля 2024 г. (включительно)</w:t>
            </w:r>
          </w:p>
        </w:tc>
        <w:tc>
          <w:tcPr>
            <w:tcW w:type="dxa" w:w="3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указанных учреждений, Министерство цифрового развития, УИК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ч.5 </w:t>
            </w:r>
            <w:hyperlink w:history="1" r:id="rIdjad8ncwzclsicyacnybm_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ст.14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заявлений об уточнении данных в списках избирателей (в случае обнаружения ошибки или неточности в нем)</w:t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10 календарных дней до дня голосования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(с 18 марта по 17 апреля 2024 г. (включительно)</w:t>
            </w:r>
          </w:p>
        </w:tc>
        <w:tc>
          <w:tcPr>
            <w:tcW w:type="dxa" w:w="3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ч.2 </w:t>
            </w:r>
            <w:hyperlink w:history="1" r:id="rIdktllcc2e6q67i0kzxyfq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окончательных списков избирателей в электронном виде уполномоченному государственному органу</w:t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7 календарных дней до дня голосования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(до 21 апреля 2024 г.)</w:t>
            </w:r>
          </w:p>
        </w:tc>
        <w:tc>
          <w:tcPr>
            <w:tcW w:type="dxa" w:w="3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ЦИК, Министерство цифрового развития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ч.5 </w:t>
            </w:r>
            <w:hyperlink w:history="1" r:id="rIdjvvwbxp5qvyzjq9fpjfz_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Вывешивание в УИКах окончательных списков избирателей</w:t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5 календарных дней до дня голосования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(до 23 апреля 2024 г.)</w:t>
            </w:r>
          </w:p>
        </w:tc>
        <w:tc>
          <w:tcPr>
            <w:tcW w:type="dxa" w:w="3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ч.5 </w:t>
            </w:r>
            <w:hyperlink w:history="1" r:id="rIdunnswhtjyl0bn5urij2o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Опубликование списков избирателей, принявших участие на выборах, на официальном сайте ЦИК и вывешивание на стендах перед помещениями участковых избирательных комиссий</w:t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5 календарных дней после дня голосования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(до 4 мая 2024 г.)</w:t>
            </w:r>
          </w:p>
        </w:tc>
        <w:tc>
          <w:tcPr>
            <w:tcW w:type="dxa" w:w="3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ЦИК, ОИК, УИК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ч.23 </w:t>
            </w:r>
            <w:hyperlink w:history="1" r:id="rId_tlaz_gjkbxye0blrtuu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ст.35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Выдвижение и регистрация кандидатов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уполномоченных представителей кандидата и выдача им регистрационных свидетельств либо мотивированного решения об отказе в регистрации</w:t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 календарных дней со дня поступления необходимых документов</w:t>
            </w:r>
          </w:p>
        </w:tc>
        <w:tc>
          <w:tcPr>
            <w:tcW w:type="dxa" w:w="3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ч.4 </w:t>
            </w:r>
            <w:hyperlink w:history="1" r:id="rIdtmtideviwutdfagqmbvr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ст.19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доверенных лиц на основании письменного заявления кандидата либо представления политической партии и заявления самого гражданина о согласии быть доверенным лицом</w:t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подачи письменного заявления кандидатом либо представления политической партии</w:t>
            </w:r>
          </w:p>
        </w:tc>
        <w:tc>
          <w:tcPr>
            <w:tcW w:type="dxa" w:w="3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ч.2 </w:t>
            </w:r>
            <w:hyperlink w:history="1" r:id="rIdk3g57qwbvaymofrgz3vo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ст.20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Выдвижение кандидатов в депутаты по одномандатному избирательному округу</w:t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Завершается за 30 календарных дней до дня голосования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(по 28 марта 2024 г. (включительно)</w:t>
            </w:r>
          </w:p>
        </w:tc>
        <w:tc>
          <w:tcPr>
            <w:tcW w:type="dxa" w:w="3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Политические партии, граждане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ч.1 </w:t>
            </w:r>
            <w:hyperlink w:history="1" r:id="rId-wdsi8c733azram6sjcc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ст.60</w:t>
              </w:r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кандидатом или его уполномоченным представителем, соответствующих документов, для регистрации кандидата по одномандатному избирательному округу</w:t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чем за 27 календарных дней до дня выборов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(до 18:00 часов 31 марта 2024 г.)</w:t>
            </w:r>
          </w:p>
        </w:tc>
        <w:tc>
          <w:tcPr>
            <w:tcW w:type="dxa" w:w="3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ч.1-1 </w:t>
            </w:r>
            <w:hyperlink w:history="1" r:id="rIdnr9ep7efoaccxvzd2bad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ст.61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кандидатов в депутаты по одномандатному избирательному округу</w:t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20 календарных дней до дня выборов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(до 8 апреля 2024 г.)</w:t>
            </w:r>
          </w:p>
        </w:tc>
        <w:tc>
          <w:tcPr>
            <w:tcW w:type="dxa" w:w="3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ч.5 </w:t>
            </w:r>
            <w:hyperlink w:history="1" r:id="rIdejybx9ksau-c3xmrsiwi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ст.61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Подача кандидата по одномандатному избирательному округу письменного заявления в ЦИК об отказе от дальнейшего участия в выборах</w:t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чем за 2 календарных дня до дня голосования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(по 25 апреля 2024 г. (включительно)</w:t>
            </w:r>
          </w:p>
        </w:tc>
        <w:tc>
          <w:tcPr>
            <w:tcW w:type="dxa" w:w="3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ч.10 </w:t>
            </w:r>
            <w:hyperlink w:history="1" r:id="rIdwervyliqtf5a8gavd76e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ст.61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Предвыборная агитация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предвыборной агитации</w:t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дня окончания срока регистрации всех кандидатов и прекращается за 24 часа до начала голосования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(с 8 апреля до 8:00 часов 27 апреля 2024 г.)</w:t>
            </w:r>
          </w:p>
        </w:tc>
        <w:tc>
          <w:tcPr>
            <w:tcW w:type="dxa" w:w="3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Кандидаты, граждане Кыргызской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ч.1 </w:t>
            </w:r>
            <w:hyperlink w:history="1" r:id="rIdl8ehmun6vql18dgeaedu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ст.23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платного эфирного времени для проведения предвыборной агитации</w:t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окончания срока регистрации кандидатов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(с 8 апреля до 8:00 часов 27 апреля 2024 г.)</w:t>
            </w:r>
          </w:p>
        </w:tc>
        <w:tc>
          <w:tcPr>
            <w:tcW w:type="dxa" w:w="3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Телерадиоорганизации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ч.4 </w:t>
            </w:r>
            <w:hyperlink w:history="1" r:id="rIduj_wifvhisjcc-3frgok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ст.24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гражданам Кыргызской Республики, кандидатам, права проведения агитации и встреч с избирателями</w:t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окончания срока регистрации кандидатов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(с 8 апреля до 8:00 часов 27 апреля 2024 г.)</w:t>
            </w:r>
          </w:p>
        </w:tc>
        <w:tc>
          <w:tcPr>
            <w:tcW w:type="dxa" w:w="3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органы, ОМСУ, ОИК, специальные представители ЦИК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 8, 9 </w:t>
            </w:r>
            <w:hyperlink w:history="1" r:id="rId2pezqfdfcek5u6k8luz_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ст.22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специальных мест на территории каждого избирательного участка для вывешивания информационных и агитационных материалов</w:t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7 календарных дней со дня назначения выборов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(до 11 марта 2024 г.)</w:t>
            </w:r>
          </w:p>
        </w:tc>
        <w:tc>
          <w:tcPr>
            <w:tcW w:type="dxa" w:w="3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ч.3 </w:t>
            </w:r>
            <w:hyperlink w:history="1" r:id="rId2jsjycvr-co5d3kjigz4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ст.27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Финансирование выборов</w:t>
            </w:r>
          </w:p>
        </w:tc>
      </w:tr>
      <w:tr>
        <w:tc>
          <w:tcPr>
            <w:tcW w:type="dxa" w:w="5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Создание избирательного фонда:</w:t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1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подача заявления на открытие специального счета в банковском учреждении, для создания и формирования своего избирательного фонда;</w:t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Вместе с подачей письменного уведомления об участии в выборах в ЦИК/ОИК</w:t>
            </w:r>
          </w:p>
        </w:tc>
        <w:tc>
          <w:tcPr>
            <w:tcW w:type="dxa" w:w="36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ч.5 </w:t>
            </w:r>
            <w:hyperlink w:history="1" r:id="rIdnrbjytrqcbal1c6gi0m2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ст.41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Закона, п.14 Положения "О порядке формирования, учета поступления и расходования денежных средств избирательного фонда кандидата, политической партии при проведении выборов депутатов Жогорку Кенеша Кыргызской Республики" (далее - Положение)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получение разрешения на открытие специального счета в банковском учреждении</w:t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получения от ЦИК/ОИК письменного разрешения (справки) на открытие специального счета</w:t>
            </w:r>
          </w:p>
        </w:tc>
        <w:tc>
          <w:tcPr>
            <w:tcW w:type="dxa" w:w="3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Кандидат, уполномоченный представитель по финансовым вопросам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ч.5 </w:t>
            </w:r>
            <w:hyperlink w:history="1" r:id="rIdrn8zifkxe9pcnjjlxfz9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ст.41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Закона, п.16 Положения</w:t>
            </w:r>
          </w:p>
        </w:tc>
      </w:tr>
      <w:tr>
        <w:tc>
          <w:tcPr>
            <w:tcW w:type="dxa" w:w="5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Открытие специального счета в банковском учреждении:</w:t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1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кандидатами по одномандатному избирательному округу, не назначившими уполномоченного представителя по финансовым вопросам;</w:t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момента выдвижения их кандидатами и до представления документов для регистрации</w:t>
            </w:r>
          </w:p>
        </w:tc>
        <w:tc>
          <w:tcPr>
            <w:tcW w:type="dxa" w:w="36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ч.5 </w:t>
            </w:r>
            <w:hyperlink w:history="1" r:id="rIdku-sb0awlazfdvxwxdyt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ст.41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кандидатами по одномандатному избирательному округу, назначившими уполномоченного представителя по финансовым вопросам</w:t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регистрации избирательной комиссией уполномоченного представителя по финансовым вопросам</w:t>
            </w:r>
          </w:p>
        </w:tc>
        <w:tc>
          <w:tcPr>
            <w:tcW w:type="dxa" w:w="3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представитель по финансовым вопросам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 3-5 </w:t>
            </w:r>
            <w:hyperlink w:history="1" r:id="rIdqdocaeedk7qb6f5gtcx6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ст.19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ч.1 </w:t>
            </w:r>
            <w:hyperlink w:history="1" r:id="rIdqlut-rjrhipugjl6ec6o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ст.41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избирательного залога: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кандидатов по одномандатному избирательному округу - в тысячекратном размере установленного законодательством расчетного показателя</w:t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чем за 27 календарных дней до дня выборов, до 18 часов местного времени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(18:00 часов 31 марта 2024 г.)</w:t>
            </w:r>
          </w:p>
        </w:tc>
        <w:tc>
          <w:tcPr>
            <w:tcW w:type="dxa" w:w="3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Контрольно-ревизионная группа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 1, 2 </w:t>
            </w:r>
            <w:hyperlink w:history="1" r:id="rIdl-pugx7vwezu9bdves-7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ст.61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сведений о поступлении и расходовании средств, находящихся на специальном счете кандидата</w:t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Еженедельно, а по требованию ЦИК - в течение 24 часов</w:t>
            </w:r>
          </w:p>
        </w:tc>
        <w:tc>
          <w:tcPr>
            <w:tcW w:type="dxa" w:w="3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Банковские или иные учреждения, ЦИК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ч.12 </w:t>
            </w:r>
            <w:hyperlink w:history="1" r:id="rIdyltpknaddffl67rcamtb7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ст.41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кандидатом в ЦИК финансовых отчетов о поступлении и расходовании средств избирательных фондов</w:t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финансовый отчет - не позднее, чем за 7 дней до дня голосования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(по 20 апреля 2024 г. (включительно)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Второй итоговый финансовый отчет - не позднее, чем через 7 дней после выборов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(по 5 мая 2024 г. (включительно)</w:t>
            </w:r>
          </w:p>
        </w:tc>
        <w:tc>
          <w:tcPr>
            <w:tcW w:type="dxa" w:w="3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Контрольно-ревизионная группа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п.48 Положения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Прекращение всех финансовых операций по расчетам с физическими и юридическими лицами, а также по возврату неизрасходованных денежных средств, находящихся на специальном счете голосования</w:t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3 календарных дней после дня голосования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(по 1 мая 2024 г. (включительно)</w:t>
            </w:r>
          </w:p>
        </w:tc>
        <w:tc>
          <w:tcPr>
            <w:tcW w:type="dxa" w:w="3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Контрольно-ревизионная группа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ч.14 </w:t>
            </w:r>
            <w:hyperlink w:history="1" r:id="rIdpnmuk-gn5tkir-8nohlr9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ст.41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Избирательные бюллетени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текста избирательного бюллетеня</w:t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чем за 17 календарных дней до дня голосования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(до 11 апреля 2024 г.)</w:t>
            </w:r>
          </w:p>
        </w:tc>
        <w:tc>
          <w:tcPr>
            <w:tcW w:type="dxa" w:w="3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ч.2 </w:t>
            </w:r>
            <w:hyperlink w:history="1" r:id="rId_vb8isg0wrlzcg-obm4_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ст.30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избирательных бюллетеней на государственном и официальном языках</w:t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5 календарных дней до дня голосования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(до 23 апреля 2024 г.)</w:t>
            </w:r>
          </w:p>
        </w:tc>
        <w:tc>
          <w:tcPr>
            <w:tcW w:type="dxa" w:w="3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ч.6 </w:t>
            </w:r>
            <w:hyperlink w:history="1" r:id="rIdgjvhxtn85c18lbwif7es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ст.30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в окружные избирательные комиссии избирательных бюллетеней</w:t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3 календарных дня до дня голосования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(до 25 апреля 2024 г.)</w:t>
            </w:r>
          </w:p>
        </w:tc>
        <w:tc>
          <w:tcPr>
            <w:tcW w:type="dxa" w:w="3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ч.9 </w:t>
            </w:r>
            <w:hyperlink w:history="1" r:id="rIddagyikbb3ad0tzk-2qrq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ст.30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в участковые избирательные комиссии избирательных бюллетеней</w:t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2-1 календарный день до дня голосования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(до 27 апреля 2024 г.)</w:t>
            </w:r>
          </w:p>
        </w:tc>
        <w:tc>
          <w:tcPr>
            <w:tcW w:type="dxa" w:w="3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ч.9 </w:t>
            </w:r>
            <w:hyperlink w:history="1" r:id="rIdkaq3euaad5ubgs-98uyt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ст.30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Порядок голосования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заявлений от избирателей о предоставлении им возможности проголосовать вне помещения для голосования</w:t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2 календарных дней до дня голосования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(по 25 апреля 2024 г. (включительно)</w:t>
            </w:r>
          </w:p>
        </w:tc>
        <w:tc>
          <w:tcPr>
            <w:tcW w:type="dxa" w:w="3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ч.2 </w:t>
            </w:r>
            <w:hyperlink w:history="1" r:id="rIdgjz_uut-fwwxhjk7rzlg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ст.33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голосования вне помещения для голосования</w:t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1 календарный день до дня голосования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(с 8:00 до 20:00 часов 27 апреля 2024 г.)</w:t>
            </w:r>
          </w:p>
        </w:tc>
        <w:tc>
          <w:tcPr>
            <w:tcW w:type="dxa" w:w="3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ч.2 </w:t>
            </w:r>
            <w:hyperlink w:history="1" r:id="rIdwzmbev51az5al8nqshwx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ст.33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Проведение голосования</w:t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 апреля 2024 года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(с 08:00 до 20:00 часов)</w:t>
            </w:r>
          </w:p>
        </w:tc>
        <w:tc>
          <w:tcPr>
            <w:tcW w:type="dxa" w:w="3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ч.1 </w:t>
            </w:r>
            <w:hyperlink w:history="1" r:id="rIdahuliqqfo_zgs00gtykf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ст.31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Установление итогов голосования и результатов выборов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Подсчет голосов избирателей</w:t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Начинается сразу после окончания голосования и проводится без перерыва до установления итогов голосования</w:t>
            </w:r>
          </w:p>
        </w:tc>
        <w:tc>
          <w:tcPr>
            <w:tcW w:type="dxa" w:w="3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ч.3-1 </w:t>
            </w:r>
            <w:hyperlink w:history="1" r:id="rIdgjolgvgay4ebcvhjhpmv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ст.35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итогов голосования по каждому избирательному участку, которые являются предварительной информацией, не имеющей юридического значения на официальном сайте ЦИК</w:t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поступления</w:t>
            </w:r>
          </w:p>
        </w:tc>
        <w:tc>
          <w:tcPr>
            <w:tcW w:type="dxa" w:w="3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ч.1 </w:t>
            </w:r>
            <w:hyperlink w:history="1" r:id="rIdsapm4hclf7cn2tnehrxw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ст.37</w:t>
              </w:r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протоколов об итогах голосования по каждому избирательному участку на официальном сайте ЦИК</w:t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12 календарных дней со дня голосования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(до 11 мая 2024 г.)</w:t>
            </w:r>
          </w:p>
        </w:tc>
        <w:tc>
          <w:tcPr>
            <w:tcW w:type="dxa" w:w="3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ЦИК, ОИК, УИК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ч.23 </w:t>
            </w:r>
            <w:hyperlink w:history="1" r:id="rIdzanbet-s72xazz6yaokg6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ст.35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протоколов об итогах голосования окружных избирательных комиссий на официальном сайте ЦИК</w:t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13 календарных дней со дня голосования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(до 12 мая 2024 г.)</w:t>
            </w:r>
          </w:p>
        </w:tc>
        <w:tc>
          <w:tcPr>
            <w:tcW w:type="dxa" w:w="3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ЦИК, ОИК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ч.23 </w:t>
            </w:r>
            <w:hyperlink w:history="1" r:id="rIdtegp5jk7b7pocfy6eita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ст.35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результатов выборов депутата Жогорку Кенеша Кыргызской Республики по одномандатному избирательному округу</w:t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13 календарных дней со дня голосования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(до 12 мая 2024 г.)</w:t>
            </w:r>
          </w:p>
        </w:tc>
        <w:tc>
          <w:tcPr>
            <w:tcW w:type="dxa" w:w="3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ч.1 </w:t>
            </w:r>
            <w:hyperlink w:history="1" r:id="rIdhqrzhwax1dctwhfc0mxw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ст.37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Официальное опубликование в средствах массовой информации результатов выборов депутатов Жогорку Кенеша Кыргызской Республики</w:t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9 календарных дней со дня определения результатов выборов</w:t>
            </w:r>
          </w:p>
        </w:tc>
        <w:tc>
          <w:tcPr>
            <w:tcW w:type="dxa" w:w="3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ч.8 </w:t>
            </w:r>
            <w:hyperlink w:history="1" r:id="rIdmo8dd-ahaxdqocfb6dxz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ст.64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Международные и общественные наблюдатели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приглашений международным организациям и избирательным органам зарубежных стран принять участие в наблюдении за выборами</w:t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официального опубликования Постановления ЦИК КР о назначении досрочных выборов</w:t>
            </w:r>
          </w:p>
        </w:tc>
        <w:tc>
          <w:tcPr>
            <w:tcW w:type="dxa" w:w="3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Администрация Президента, Жогорку Кенеш, Кабинет Министров, ЦИК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ч.1 </w:t>
            </w:r>
            <w:hyperlink w:history="1" r:id="rId8dhssxfhrohh62q6nuta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наблюдателей при наличии, направленных Президентом КР, ЖК КР, Кабинетом Министров, ЦИК приглашений</w:t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официального опубликования решения о назначении повторных выборов</w:t>
            </w:r>
          </w:p>
        </w:tc>
        <w:tc>
          <w:tcPr>
            <w:tcW w:type="dxa" w:w="3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ч.1 </w:t>
            </w:r>
            <w:hyperlink w:history="1" r:id="rIdbhblth9bcc0dnb8i9yuy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общественных наблюдателей</w:t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предоставлении некоммерческими организациями соответствующих документов для регистрации общественных наблюдателей</w:t>
            </w:r>
          </w:p>
        </w:tc>
        <w:tc>
          <w:tcPr>
            <w:tcW w:type="dxa" w:w="3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  <w:hyperlink w:history="1" r:id="rIdx3zmu_j7o8tvzqr2u2xt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ст.10</w:t>
              </w:r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Обучение членов избирательных комиссий и других участников избирательного процесса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обучающих семинаров для представителей политических партий, СМИ, правоохранительных органов и других участников избирательного процесса</w:t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назначения выборов по отдельному плану</w:t>
            </w:r>
          </w:p>
        </w:tc>
        <w:tc>
          <w:tcPr>
            <w:tcW w:type="dxa" w:w="3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обучающих тренингов для членов ОИК, УИК, операторов АСУ и идентификации избирателей</w:t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назначения выборов по отдельному плану</w:t>
            </w:r>
          </w:p>
        </w:tc>
        <w:tc>
          <w:tcPr>
            <w:tcW w:type="dxa" w:w="3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wp6-pmtlwaok5vqg5qm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dalil.kg/document/230012815</w:t>
      </w:r>
    </w:hyperlink>
  </w:p>
  <w:p>
    <w:pPr>
      <w:spacing w:after="0" w:before="40"/>
      <w:jc w:val="center"/>
    </w:pPr>
    <w:hyperlink w:history="1" r:id="rIdtsrwovv33umgejv5j02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chfwsvyvt4ymgxykgltq" Type="http://schemas.openxmlformats.org/officeDocument/2006/relationships/hyperlink" Target="https://dalil.kg/document/112260#st_3" TargetMode="External"/><Relationship Id="rIdb4uqyz86fjd0pycs7cpjg" Type="http://schemas.openxmlformats.org/officeDocument/2006/relationships/hyperlink" Target="https://dalil.kg/document/112260#st_4" TargetMode="External"/><Relationship Id="rIdf17avpqgb3vbgd_kfsult" Type="http://schemas.openxmlformats.org/officeDocument/2006/relationships/hyperlink" Target="https://dalil.kg/document/112260#st_8" TargetMode="External"/><Relationship Id="rIduytzm3saghy39ad8f2gcw" Type="http://schemas.openxmlformats.org/officeDocument/2006/relationships/hyperlink" Target="https://dalil.kg/document/203244#st_63" TargetMode="External"/><Relationship Id="rIdk5ofelgqfcuzk3ldj4-lh" Type="http://schemas.openxmlformats.org/officeDocument/2006/relationships/hyperlink" Target="https://dalil.kg/document/203244#st_22" TargetMode="External"/><Relationship Id="rId-h71kj9fo7xbu1di1s5hi" Type="http://schemas.openxmlformats.org/officeDocument/2006/relationships/hyperlink" Target="https://dalil.kg/document/203244#st_22" TargetMode="External"/><Relationship Id="rIdsfghm5tyi8g9srofccwfn" Type="http://schemas.openxmlformats.org/officeDocument/2006/relationships/hyperlink" Target="https://dalil.kg/document/203244#st_29" TargetMode="External"/><Relationship Id="rIdtzvmgvmx5cc9ujmfdqrwp" Type="http://schemas.openxmlformats.org/officeDocument/2006/relationships/hyperlink" Target="https://dalil.kg/document/203244#st_29" TargetMode="External"/><Relationship Id="rIdzscoq5ilbtdeb5_y2dafh" Type="http://schemas.openxmlformats.org/officeDocument/2006/relationships/hyperlink" Target="https://dalil.kg/document/203244#st_29" TargetMode="External"/><Relationship Id="rIdru_-of4z8wo_fld4ybehc" Type="http://schemas.openxmlformats.org/officeDocument/2006/relationships/hyperlink" Target="https://dalil.kg/document/203244#st_14" TargetMode="External"/><Relationship Id="rIdmtaqpsriqhrmktq2fbm-3" Type="http://schemas.openxmlformats.org/officeDocument/2006/relationships/hyperlink" Target="https://dalil.kg/document/203244#st_15" TargetMode="External"/><Relationship Id="rIdjad8ncwzclsicyacnybm_" Type="http://schemas.openxmlformats.org/officeDocument/2006/relationships/hyperlink" Target="https://dalil.kg/document/203244#st_14" TargetMode="External"/><Relationship Id="rIdktllcc2e6q67i0kzxyfqy" Type="http://schemas.openxmlformats.org/officeDocument/2006/relationships/hyperlink" Target="https://dalil.kg/document/203244#st_15" TargetMode="External"/><Relationship Id="rIdjvvwbxp5qvyzjq9fpjfz_" Type="http://schemas.openxmlformats.org/officeDocument/2006/relationships/hyperlink" Target="https://dalil.kg/document/203244#st_15" TargetMode="External"/><Relationship Id="rIdunnswhtjyl0bn5urij2op" Type="http://schemas.openxmlformats.org/officeDocument/2006/relationships/hyperlink" Target="https://dalil.kg/document/203244#st_15" TargetMode="External"/><Relationship Id="rId_tlaz_gjkbxye0blrtuue" Type="http://schemas.openxmlformats.org/officeDocument/2006/relationships/hyperlink" Target="https://dalil.kg/document/203244#st_35" TargetMode="External"/><Relationship Id="rIdtmtideviwutdfagqmbvrz" Type="http://schemas.openxmlformats.org/officeDocument/2006/relationships/hyperlink" Target="https://dalil.kg/document/203244#st_19" TargetMode="External"/><Relationship Id="rIdk3g57qwbvaymofrgz3vos" Type="http://schemas.openxmlformats.org/officeDocument/2006/relationships/hyperlink" Target="https://dalil.kg/document/203244#st_20" TargetMode="External"/><Relationship Id="rId-wdsi8c733azram6sjccf" Type="http://schemas.openxmlformats.org/officeDocument/2006/relationships/hyperlink" Target="https://dalil.kg/document/203244#st_60_1" TargetMode="External"/><Relationship Id="rIdnr9ep7efoaccxvzd2badh" Type="http://schemas.openxmlformats.org/officeDocument/2006/relationships/hyperlink" Target="https://dalil.kg/document/203244#st_61" TargetMode="External"/><Relationship Id="rIdejybx9ksau-c3xmrsiwix" Type="http://schemas.openxmlformats.org/officeDocument/2006/relationships/hyperlink" Target="https://dalil.kg/document/203244#st_61" TargetMode="External"/><Relationship Id="rIdwervyliqtf5a8gavd76ed" Type="http://schemas.openxmlformats.org/officeDocument/2006/relationships/hyperlink" Target="https://dalil.kg/document/203244#st_61" TargetMode="External"/><Relationship Id="rIdl8ehmun6vql18dgeaeduh" Type="http://schemas.openxmlformats.org/officeDocument/2006/relationships/hyperlink" Target="https://dalil.kg/document/203244#st_23" TargetMode="External"/><Relationship Id="rIduj_wifvhisjcc-3frgoko" Type="http://schemas.openxmlformats.org/officeDocument/2006/relationships/hyperlink" Target="https://dalil.kg/document/203244#st_24" TargetMode="External"/><Relationship Id="rId2pezqfdfcek5u6k8luz_v" Type="http://schemas.openxmlformats.org/officeDocument/2006/relationships/hyperlink" Target="https://dalil.kg/document/203244#st_22" TargetMode="External"/><Relationship Id="rId2jsjycvr-co5d3kjigz4z" Type="http://schemas.openxmlformats.org/officeDocument/2006/relationships/hyperlink" Target="https://dalil.kg/document/203244#st_27" TargetMode="External"/><Relationship Id="rIdnrbjytrqcbal1c6gi0m2z" Type="http://schemas.openxmlformats.org/officeDocument/2006/relationships/hyperlink" Target="https://dalil.kg/document/203244#st_41" TargetMode="External"/><Relationship Id="rIdrn8zifkxe9pcnjjlxfz9r" Type="http://schemas.openxmlformats.org/officeDocument/2006/relationships/hyperlink" Target="https://dalil.kg/document/203244#st_41" TargetMode="External"/><Relationship Id="rIdku-sb0awlazfdvxwxdytf" Type="http://schemas.openxmlformats.org/officeDocument/2006/relationships/hyperlink" Target="https://dalil.kg/document/203244#st_41" TargetMode="External"/><Relationship Id="rIdqdocaeedk7qb6f5gtcx6m" Type="http://schemas.openxmlformats.org/officeDocument/2006/relationships/hyperlink" Target="https://dalil.kg/document/203244#st_19" TargetMode="External"/><Relationship Id="rIdqlut-rjrhipugjl6ec6ol" Type="http://schemas.openxmlformats.org/officeDocument/2006/relationships/hyperlink" Target="https://dalil.kg/document/203244#st_41" TargetMode="External"/><Relationship Id="rIdl-pugx7vwezu9bdves-7y" Type="http://schemas.openxmlformats.org/officeDocument/2006/relationships/hyperlink" Target="https://dalil.kg/document/203244#st_61" TargetMode="External"/><Relationship Id="rIdyltpknaddffl67rcamtb7" Type="http://schemas.openxmlformats.org/officeDocument/2006/relationships/hyperlink" Target="https://dalil.kg/document/203244#st_41" TargetMode="External"/><Relationship Id="rIdpnmuk-gn5tkir-8nohlr9" Type="http://schemas.openxmlformats.org/officeDocument/2006/relationships/hyperlink" Target="https://dalil.kg/document/203244#st_41" TargetMode="External"/><Relationship Id="rId_vb8isg0wrlzcg-obm4_d" Type="http://schemas.openxmlformats.org/officeDocument/2006/relationships/hyperlink" Target="https://dalil.kg/document/203244#st_30" TargetMode="External"/><Relationship Id="rIdgjvhxtn85c18lbwif7esh" Type="http://schemas.openxmlformats.org/officeDocument/2006/relationships/hyperlink" Target="https://dalil.kg/document/203244#st_30" TargetMode="External"/><Relationship Id="rIddagyikbb3ad0tzk-2qrqw" Type="http://schemas.openxmlformats.org/officeDocument/2006/relationships/hyperlink" Target="https://dalil.kg/document/203244#st_30" TargetMode="External"/><Relationship Id="rIdkaq3euaad5ubgs-98uytu" Type="http://schemas.openxmlformats.org/officeDocument/2006/relationships/hyperlink" Target="https://dalil.kg/document/203244#st_30" TargetMode="External"/><Relationship Id="rIdgjz_uut-fwwxhjk7rzlgx" Type="http://schemas.openxmlformats.org/officeDocument/2006/relationships/hyperlink" Target="https://dalil.kg/document/203244#st_33" TargetMode="External"/><Relationship Id="rIdwzmbev51az5al8nqshwxh" Type="http://schemas.openxmlformats.org/officeDocument/2006/relationships/hyperlink" Target="https://dalil.kg/document/203244#st_33" TargetMode="External"/><Relationship Id="rIdahuliqqfo_zgs00gtykfr" Type="http://schemas.openxmlformats.org/officeDocument/2006/relationships/hyperlink" Target="https://dalil.kg/document/203244#st_31" TargetMode="External"/><Relationship Id="rIdgjolgvgay4ebcvhjhpmvn" Type="http://schemas.openxmlformats.org/officeDocument/2006/relationships/hyperlink" Target="https://dalil.kg/document/203244#st_35" TargetMode="External"/><Relationship Id="rIdsapm4hclf7cn2tnehrxwm" Type="http://schemas.openxmlformats.org/officeDocument/2006/relationships/hyperlink" Target="https://dalil.kg/document/203244#st_37_1" TargetMode="External"/><Relationship Id="rIdzanbet-s72xazz6yaokg6" Type="http://schemas.openxmlformats.org/officeDocument/2006/relationships/hyperlink" Target="https://dalil.kg/document/203244#st_35" TargetMode="External"/><Relationship Id="rIdtegp5jk7b7pocfy6eitad" Type="http://schemas.openxmlformats.org/officeDocument/2006/relationships/hyperlink" Target="https://dalil.kg/document/203244#st_35" TargetMode="External"/><Relationship Id="rIdhqrzhwax1dctwhfc0mxwx" Type="http://schemas.openxmlformats.org/officeDocument/2006/relationships/hyperlink" Target="https://dalil.kg/document/203244#st_37" TargetMode="External"/><Relationship Id="rIdmo8dd-ahaxdqocfb6dxze" Type="http://schemas.openxmlformats.org/officeDocument/2006/relationships/hyperlink" Target="https://dalil.kg/document/203244#st_64" TargetMode="External"/><Relationship Id="rId8dhssxfhrohh62q6nutaj" Type="http://schemas.openxmlformats.org/officeDocument/2006/relationships/hyperlink" Target="https://dalil.kg/document/203244#st_10" TargetMode="External"/><Relationship Id="rIdbhblth9bcc0dnb8i9yuyy" Type="http://schemas.openxmlformats.org/officeDocument/2006/relationships/hyperlink" Target="https://dalil.kg/document/203244#st_10" TargetMode="External"/><Relationship Id="rIdx3zmu_j7o8tvzqr2u2xtd" Type="http://schemas.openxmlformats.org/officeDocument/2006/relationships/hyperlink" Target="https://dalil.kg/document/203244#st_10_1" TargetMode="External"/><Relationship Id="rId8" Type="http://schemas.openxmlformats.org/officeDocument/2006/relationships/image" Target="media/8de64316e95979c063c17bcd5380dc052a2594e9.png"/><Relationship Id="rId5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wp6-pmtlwaok5vqg5qm0" Type="http://schemas.openxmlformats.org/officeDocument/2006/relationships/hyperlink" Target="https://dalil.kg/document/230012815" TargetMode="External"/><Relationship Id="rIdtsrwovv33umgejv5j02v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2026-09-28T04:58:58.980Z</dcterms:created>
  <dcterms:modified xsi:type="dcterms:W3CDTF">2026-09-28T04:58:58.980Z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