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i/>
          <w:iCs/>
          <w:sz w:val="24"/>
          <w:szCs w:val="24"/>
        </w:rPr>
        <w:t xml:space="preserve">(к</w:t>
      </w:r>
      <w:hyperlink w:history="1" r:id="rIdmkgly3u7nnqe3exvu8q5y">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w:t>
      </w:r>
      <w:r>
        <w:rPr>
          <w:rFonts w:ascii="Arial" w:cs="Arial" w:eastAsia="Arial" w:hAnsi="Arial"/>
          <w:i/>
          <w:iCs/>
          <w:sz w:val="24"/>
          <w:szCs w:val="24"/>
        </w:rPr>
        <w:t xml:space="preserve">Кыргызской Республики
 от 6 сетября 2024 года № 546)</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w:t>
      </w:r>
    </w:p>
    <w:p>
      <w:pPr>
        <w:spacing w:after="240" w:before="200"/>
        <w:jc w:val="center"/>
      </w:pPr>
      <w:r>
        <w:rPr>
          <w:rFonts w:ascii="Arial" w:cs="Arial" w:eastAsia="Arial" w:hAnsi="Arial"/>
          <w:b/>
          <w:bCs/>
          <w:sz w:val="28"/>
          <w:szCs w:val="28"/>
        </w:rPr>
        <w:t xml:space="preserve">проведения фармаконадзора</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Настоящий Порядок проведения фармаконадзора  распространяется на уполномоченный орган в сфере обращения лекарственных средств и медицинских изделий (далее – уполномоченный орган), держателя регистрационного удостоверения лекарственных препаратов (далее – держатель регистрационных удостоверений), организации здравоохранения, медицинских и фармацевтических работников.</w:t>
      </w:r>
    </w:p>
    <w:p>
      <w:pPr>
        <w:spacing w:after="120"/>
        <w:ind w:firstLine="708"/>
        <w:jc w:val="both"/>
      </w:pPr>
      <w:r>
        <w:rPr>
          <w:rFonts w:ascii="Arial" w:cs="Arial" w:eastAsia="Arial" w:hAnsi="Arial"/>
          <w:sz w:val="24"/>
          <w:szCs w:val="24"/>
        </w:rPr>
        <w:t xml:space="preserve">2. Организация и обеспечение функционирования системы фармаконадзора (далее – фармаконадзор) на территории Кыргызской Республики осуществляется держателями регистрационных удостоверений и уполномоченным органом в соответствии с Правилами надлежащей практики фармаконадзора Евразийского экономического союза, утвержденными решением Совета Евразийской экономической комиссии от 19 мая 2022 года № 81 (далее – Правила надлежащей практики фармаконадзора), и настоящим Порядком. </w:t>
      </w:r>
    </w:p>
    <w:p>
      <w:pPr>
        <w:spacing w:after="120"/>
        <w:ind w:firstLine="708"/>
        <w:jc w:val="both"/>
      </w:pPr>
      <w:r>
        <w:rPr>
          <w:rFonts w:ascii="Arial" w:cs="Arial" w:eastAsia="Arial" w:hAnsi="Arial"/>
          <w:sz w:val="24"/>
          <w:szCs w:val="24"/>
        </w:rPr>
        <w:t xml:space="preserve">3. С целью гарантированного выполнения обязательств и принятия при необходимости требуемых мер по фармаконадзору в отношении зарегистрированных или официально находящихся в обращении лекарственных препаратов на территории Кыргызской Республики держатели регистрационных удостоверений определяются ответственными за выполнение задач и обязанностей по фармаконадзору, определяемых настоящим Порядком и законодательством государств – членов Евразийского экономического союза. Держатели регистрационных удостоверений должны обеспечить функционирование фармаконадзора на территории Кыргызской Республики, включая внедрение надлежащей и эффективной системы качества системы фармаконадзора.</w:t>
      </w:r>
    </w:p>
    <w:p>
      <w:pPr>
        <w:spacing w:after="120"/>
        <w:ind w:firstLine="708"/>
        <w:jc w:val="both"/>
      </w:pPr>
      <w:r>
        <w:rPr>
          <w:rFonts w:ascii="Arial" w:cs="Arial" w:eastAsia="Arial" w:hAnsi="Arial"/>
          <w:sz w:val="24"/>
          <w:szCs w:val="24"/>
        </w:rPr>
        <w:t xml:space="preserve">4. Уполномоченный орган осуществляет деятельность по фармаконадзору с соблюдением требований законодательства Кыргызской Республики в сфере защиты персональных данных.</w:t>
      </w:r>
    </w:p>
    <w:p>
      <w:pPr>
        <w:spacing w:after="120"/>
        <w:ind w:firstLine="708"/>
        <w:jc w:val="both"/>
      </w:pPr>
      <w:r>
        <w:rPr>
          <w:rFonts w:ascii="Arial" w:cs="Arial" w:eastAsia="Arial" w:hAnsi="Arial"/>
          <w:sz w:val="24"/>
          <w:szCs w:val="24"/>
        </w:rPr>
        <w:t xml:space="preserve">5. Уполномоченный орган проводит анализ и оценку:</w:t>
      </w:r>
    </w:p>
    <w:p>
      <w:pPr>
        <w:spacing w:after="120"/>
        <w:ind w:firstLine="708"/>
        <w:jc w:val="both"/>
      </w:pPr>
      <w:r>
        <w:rPr>
          <w:rFonts w:ascii="Arial" w:cs="Arial" w:eastAsia="Arial" w:hAnsi="Arial"/>
          <w:sz w:val="24"/>
          <w:szCs w:val="24"/>
        </w:rPr>
        <w:t xml:space="preserve">1) сообщений, полученных от держателей регистрационных удостоверений, медицинских работников и фармацевтических работников, о серьезных нежелательных реакциях и непредвиденных нежелательных реакциях на лекарственные препараты, информации об отсутствии эффективности лекарственных препаратов, обо всех фактах и обстоятельствах, представляющих угрозу жизни или здоровью человека при применении лекарственных препаратов;</w:t>
      </w:r>
    </w:p>
    <w:p>
      <w:pPr>
        <w:spacing w:after="120"/>
        <w:ind w:firstLine="708"/>
        <w:jc w:val="both"/>
      </w:pPr>
      <w:r>
        <w:rPr>
          <w:rFonts w:ascii="Arial" w:cs="Arial" w:eastAsia="Arial" w:hAnsi="Arial"/>
          <w:sz w:val="24"/>
          <w:szCs w:val="24"/>
        </w:rPr>
        <w:t xml:space="preserve">2) периодических отчетов по безопасности лекарственных препаратов, полученных от держателей регистрационных удостоверений;</w:t>
      </w:r>
    </w:p>
    <w:p>
      <w:pPr>
        <w:spacing w:after="120"/>
        <w:ind w:firstLine="708"/>
        <w:jc w:val="both"/>
      </w:pPr>
      <w:r>
        <w:rPr>
          <w:rFonts w:ascii="Arial" w:cs="Arial" w:eastAsia="Arial" w:hAnsi="Arial"/>
          <w:sz w:val="24"/>
          <w:szCs w:val="24"/>
        </w:rPr>
        <w:t xml:space="preserve">3) мастер-файла системы фармаконадзора держателей регистрационных удостоверений;</w:t>
      </w:r>
    </w:p>
    <w:p>
      <w:pPr>
        <w:spacing w:after="120"/>
        <w:ind w:firstLine="708"/>
        <w:jc w:val="both"/>
      </w:pPr>
      <w:r>
        <w:rPr>
          <w:rFonts w:ascii="Arial" w:cs="Arial" w:eastAsia="Arial" w:hAnsi="Arial"/>
          <w:sz w:val="24"/>
          <w:szCs w:val="24"/>
        </w:rPr>
        <w:t xml:space="preserve">4) планов управления рисками.</w:t>
      </w:r>
    </w:p>
    <w:p>
      <w:pPr>
        <w:spacing w:after="120"/>
        <w:ind w:firstLine="708"/>
        <w:jc w:val="both"/>
      </w:pPr>
      <w:r>
        <w:rPr>
          <w:rFonts w:ascii="Arial" w:cs="Arial" w:eastAsia="Arial" w:hAnsi="Arial"/>
          <w:sz w:val="24"/>
          <w:szCs w:val="24"/>
        </w:rPr>
        <w:t xml:space="preserve">6. Уполномоченный орган проводит мониторинг выполнения держателями регистрационных удостоверений обязательств по фармаконадзору в отношении лекарственных препаратов, включая выполнение требований системы фармаконадзора держателями регистрационных удостоверений.</w:t>
      </w:r>
    </w:p>
    <w:p>
      <w:pPr>
        <w:spacing w:after="120"/>
        <w:ind w:firstLine="708"/>
        <w:jc w:val="both"/>
      </w:pPr>
      <w:r>
        <w:rPr>
          <w:rFonts w:ascii="Arial" w:cs="Arial" w:eastAsia="Arial" w:hAnsi="Arial"/>
          <w:sz w:val="24"/>
          <w:szCs w:val="24"/>
        </w:rPr>
        <w:t xml:space="preserve">7. В Порядке используются термины и определения, которые означают следующее:</w:t>
      </w:r>
    </w:p>
    <w:p>
      <w:pPr>
        <w:spacing w:after="120"/>
        <w:ind w:firstLine="708"/>
        <w:jc w:val="both"/>
      </w:pPr>
      <w:r>
        <w:rPr>
          <w:rFonts w:ascii="Arial" w:cs="Arial" w:eastAsia="Arial" w:hAnsi="Arial"/>
          <w:b/>
          <w:bCs/>
          <w:sz w:val="24"/>
          <w:szCs w:val="24"/>
        </w:rPr>
        <w:t xml:space="preserve">1) аудит</w:t>
      </w:r>
      <w:r>
        <w:rPr>
          <w:rFonts w:ascii="Arial" w:cs="Arial" w:eastAsia="Arial" w:hAnsi="Arial"/>
          <w:sz w:val="24"/>
          <w:szCs w:val="24"/>
        </w:rPr>
        <w:t xml:space="preserve"> – систематический, упорядоченный, независимый и документированный процесс получения и объективной оценки аудиторских фактов, характеризующих работу системы фармаконадзора, с целью определения степени выполнения критериев аудита;</w:t>
      </w:r>
    </w:p>
    <w:p>
      <w:pPr>
        <w:spacing w:after="120"/>
        <w:ind w:firstLine="708"/>
        <w:jc w:val="both"/>
      </w:pPr>
      <w:r>
        <w:rPr>
          <w:rFonts w:ascii="Arial" w:cs="Arial" w:eastAsia="Arial" w:hAnsi="Arial"/>
          <w:b/>
          <w:bCs/>
          <w:sz w:val="24"/>
          <w:szCs w:val="24"/>
        </w:rPr>
        <w:t xml:space="preserve">2) важный идентифицированный риск или важный потенциальный риск</w:t>
      </w:r>
      <w:r>
        <w:rPr>
          <w:rFonts w:ascii="Arial" w:cs="Arial" w:eastAsia="Arial" w:hAnsi="Arial"/>
          <w:sz w:val="24"/>
          <w:szCs w:val="24"/>
        </w:rPr>
        <w:t xml:space="preserve"> – идентифицированный риск или потенциальный риск применения лекарственного препарата, который может оказать влияние на соотношение «польза – риск» или иметь последствия для общественного здоровья;</w:t>
      </w:r>
    </w:p>
    <w:p>
      <w:pPr>
        <w:spacing w:after="120"/>
        <w:ind w:firstLine="708"/>
        <w:jc w:val="both"/>
      </w:pPr>
      <w:r>
        <w:rPr>
          <w:rFonts w:ascii="Arial" w:cs="Arial" w:eastAsia="Arial" w:hAnsi="Arial"/>
          <w:b/>
          <w:bCs/>
          <w:sz w:val="24"/>
          <w:szCs w:val="24"/>
        </w:rPr>
        <w:t xml:space="preserve">3) валидированный сигнал</w:t>
      </w:r>
      <w:r>
        <w:rPr>
          <w:rFonts w:ascii="Arial" w:cs="Arial" w:eastAsia="Arial" w:hAnsi="Arial"/>
          <w:sz w:val="24"/>
          <w:szCs w:val="24"/>
        </w:rPr>
        <w:t xml:space="preserve"> – сигнал, для которого в процессе выполнения валидации и оценки подтверждающих данных установлено, что имеющаяся документация достаточна для предположения наличия новой потенциальной причинно-следственной связи или нового аспекта известной взаимосвязи между приемом подозреваемого лекарственного </w:t>
      </w:r>
      <w:r>
        <w:rPr>
          <w:rFonts w:ascii="Arial" w:cs="Arial" w:eastAsia="Arial" w:hAnsi="Arial"/>
          <w:b/>
          <w:bCs/>
          <w:sz w:val="24"/>
          <w:szCs w:val="24"/>
        </w:rPr>
        <w:t xml:space="preserve">препарат</w:t>
      </w:r>
      <w:r>
        <w:rPr>
          <w:rFonts w:ascii="Arial" w:cs="Arial" w:eastAsia="Arial" w:hAnsi="Arial"/>
          <w:sz w:val="24"/>
          <w:szCs w:val="24"/>
        </w:rPr>
        <w:t xml:space="preserve">а</w:t>
      </w:r>
      <w:r>
        <w:rPr>
          <w:rFonts w:ascii="Arial" w:cs="Arial" w:eastAsia="Arial" w:hAnsi="Arial"/>
          <w:sz w:val="24"/>
          <w:szCs w:val="24"/>
        </w:rPr>
        <w:t xml:space="preserve">и развитием неблагоприятного последствия, и, следовательно, определена необходимость осуществления комплекса дальнейших действий по оценке сигнала;</w:t>
      </w:r>
    </w:p>
    <w:p>
      <w:pPr>
        <w:spacing w:after="120"/>
        <w:ind w:firstLine="708"/>
        <w:jc w:val="both"/>
      </w:pPr>
      <w:r>
        <w:rPr>
          <w:rFonts w:ascii="Arial" w:cs="Arial" w:eastAsia="Arial" w:hAnsi="Arial"/>
          <w:b/>
          <w:bCs/>
          <w:sz w:val="24"/>
          <w:szCs w:val="24"/>
        </w:rPr>
        <w:t xml:space="preserve">4) воздействие, связанное с родом занятий,</w:t>
      </w:r>
      <w:r>
        <w:rPr>
          <w:rFonts w:ascii="Arial" w:cs="Arial" w:eastAsia="Arial" w:hAnsi="Arial"/>
          <w:sz w:val="24"/>
          <w:szCs w:val="24"/>
        </w:rPr>
        <w:t xml:space="preserve"> – воздействие лекарственного </w:t>
      </w:r>
      <w:r>
        <w:rPr>
          <w:rFonts w:ascii="Arial" w:cs="Arial" w:eastAsia="Arial" w:hAnsi="Arial"/>
          <w:b/>
          <w:bCs/>
          <w:sz w:val="24"/>
          <w:szCs w:val="24"/>
        </w:rPr>
        <w:t xml:space="preserve">препарат</w:t>
      </w:r>
      <w:r>
        <w:rPr>
          <w:rFonts w:ascii="Arial" w:cs="Arial" w:eastAsia="Arial" w:hAnsi="Arial"/>
          <w:sz w:val="24"/>
          <w:szCs w:val="24"/>
        </w:rPr>
        <w:t xml:space="preserve">а, которому подвергся человек в результате выполнения профессиональной деятельности;</w:t>
      </w:r>
    </w:p>
    <w:p>
      <w:pPr>
        <w:spacing w:after="120"/>
        <w:ind w:firstLine="708"/>
        <w:jc w:val="both"/>
      </w:pPr>
      <w:r>
        <w:rPr>
          <w:rFonts w:ascii="Arial" w:cs="Arial" w:eastAsia="Arial" w:hAnsi="Arial"/>
          <w:b/>
          <w:bCs/>
          <w:sz w:val="24"/>
          <w:szCs w:val="24"/>
        </w:rPr>
        <w:t xml:space="preserve">5) выявление сигнала</w:t>
      </w:r>
      <w:r>
        <w:rPr>
          <w:rFonts w:ascii="Arial" w:cs="Arial" w:eastAsia="Arial" w:hAnsi="Arial"/>
          <w:sz w:val="24"/>
          <w:szCs w:val="24"/>
        </w:rPr>
        <w:t xml:space="preserve"> – процесс поиска и (или) идентификации сигнала с использованием любых источников данных о безопасности;</w:t>
      </w:r>
    </w:p>
    <w:p>
      <w:pPr>
        <w:spacing w:after="120"/>
        <w:ind w:firstLine="708"/>
        <w:jc w:val="both"/>
      </w:pPr>
      <w:r>
        <w:rPr>
          <w:rFonts w:ascii="Arial" w:cs="Arial" w:eastAsia="Arial" w:hAnsi="Arial"/>
          <w:b/>
          <w:bCs/>
          <w:sz w:val="24"/>
          <w:szCs w:val="24"/>
        </w:rPr>
        <w:t xml:space="preserve">6) дата окончания сбора данных</w:t>
      </w:r>
      <w:r>
        <w:rPr>
          <w:rFonts w:ascii="Arial" w:cs="Arial" w:eastAsia="Arial" w:hAnsi="Arial"/>
          <w:sz w:val="24"/>
          <w:szCs w:val="24"/>
        </w:rPr>
        <w:t xml:space="preserve"> – дата завершения сбора данных для включения в периодический обновляемый отчет по безопасности, основанная на международной дате регистрации;</w:t>
      </w:r>
    </w:p>
    <w:p>
      <w:pPr>
        <w:spacing w:after="120"/>
        <w:ind w:firstLine="708"/>
        <w:jc w:val="both"/>
      </w:pPr>
      <w:r>
        <w:rPr>
          <w:rFonts w:ascii="Arial" w:cs="Arial" w:eastAsia="Arial" w:hAnsi="Arial"/>
          <w:b/>
          <w:bCs/>
          <w:sz w:val="24"/>
          <w:szCs w:val="24"/>
        </w:rPr>
        <w:t xml:space="preserve">7) завершенное клиническое исследование</w:t>
      </w:r>
      <w:r>
        <w:rPr>
          <w:rFonts w:ascii="Arial" w:cs="Arial" w:eastAsia="Arial" w:hAnsi="Arial"/>
          <w:sz w:val="24"/>
          <w:szCs w:val="24"/>
        </w:rPr>
        <w:t xml:space="preserve"> – исследование, по которому подготовлен заключительный отчет о клиническом исследовании;</w:t>
      </w:r>
    </w:p>
    <w:p>
      <w:pPr>
        <w:spacing w:after="120"/>
        <w:ind w:firstLine="708"/>
        <w:jc w:val="both"/>
      </w:pPr>
      <w:r>
        <w:rPr>
          <w:rFonts w:ascii="Arial" w:cs="Arial" w:eastAsia="Arial" w:hAnsi="Arial"/>
          <w:b/>
          <w:bCs/>
          <w:sz w:val="24"/>
          <w:szCs w:val="24"/>
        </w:rPr>
        <w:t xml:space="preserve">8) злоупотребление лекарственным препаратом</w:t>
      </w:r>
      <w:r>
        <w:rPr>
          <w:rFonts w:ascii="Arial" w:cs="Arial" w:eastAsia="Arial" w:hAnsi="Arial"/>
          <w:sz w:val="24"/>
          <w:szCs w:val="24"/>
        </w:rPr>
        <w:t xml:space="preserve"> – постоянное или разовое преднамеренное чрезмерное употребление лекарственного препарата, которое сопровождается неблагоприятными физиологическими или психологическими эффектами;</w:t>
      </w:r>
    </w:p>
    <w:p>
      <w:pPr>
        <w:spacing w:after="120"/>
        <w:ind w:firstLine="708"/>
        <w:jc w:val="both"/>
      </w:pPr>
      <w:r>
        <w:rPr>
          <w:rFonts w:ascii="Arial" w:cs="Arial" w:eastAsia="Arial" w:hAnsi="Arial"/>
          <w:b/>
          <w:bCs/>
          <w:sz w:val="24"/>
          <w:szCs w:val="24"/>
        </w:rPr>
        <w:t xml:space="preserve">9) идентифицированный риск</w:t>
      </w:r>
      <w:r>
        <w:rPr>
          <w:rFonts w:ascii="Arial" w:cs="Arial" w:eastAsia="Arial" w:hAnsi="Arial"/>
          <w:sz w:val="24"/>
          <w:szCs w:val="24"/>
        </w:rPr>
        <w:t xml:space="preserve"> – нежелательное последствие фармакотерапии, в отношении которого получены достаточные доказательства наличия взаимосвязи с подозреваемым лекарственным препаратом;</w:t>
      </w:r>
    </w:p>
    <w:p>
      <w:pPr>
        <w:spacing w:after="120"/>
        <w:ind w:firstLine="708"/>
        <w:jc w:val="both"/>
      </w:pPr>
      <w:r>
        <w:rPr>
          <w:rFonts w:ascii="Arial" w:cs="Arial" w:eastAsia="Arial" w:hAnsi="Arial"/>
          <w:b/>
          <w:bCs/>
          <w:sz w:val="24"/>
          <w:szCs w:val="24"/>
        </w:rPr>
        <w:t xml:space="preserve">10) индивидуальное сообщение о нежелательной реакции</w:t>
      </w:r>
      <w:r>
        <w:rPr>
          <w:rFonts w:ascii="Arial" w:cs="Arial" w:eastAsia="Arial" w:hAnsi="Arial"/>
          <w:sz w:val="24"/>
          <w:szCs w:val="24"/>
        </w:rPr>
        <w:t xml:space="preserve"> – информация, передаваемая в соответствии с установленными формой и содержанием, об одной или нескольких подозреваемых нежелательных реакциях на лекарственный препарат, возникающих у отдельного пациента в определенный момент времени;</w:t>
      </w:r>
    </w:p>
    <w:p>
      <w:pPr>
        <w:spacing w:after="120"/>
        <w:ind w:firstLine="708"/>
        <w:jc w:val="both"/>
      </w:pPr>
      <w:r>
        <w:rPr>
          <w:rFonts w:ascii="Arial" w:cs="Arial" w:eastAsia="Arial" w:hAnsi="Arial"/>
          <w:b/>
          <w:bCs/>
          <w:sz w:val="24"/>
          <w:szCs w:val="24"/>
        </w:rPr>
        <w:t xml:space="preserve">11) источники получения индивидуальных сообщений о нежелательных реакциях по запросу</w:t>
      </w:r>
      <w:r>
        <w:rPr>
          <w:rFonts w:ascii="Arial" w:cs="Arial" w:eastAsia="Arial" w:hAnsi="Arial"/>
          <w:sz w:val="24"/>
          <w:szCs w:val="24"/>
        </w:rPr>
        <w:t xml:space="preserve"> – организованные системы по сбору данных, которые включают в себя клинические испытания (исследования), реестры, пострегистрационные программы персонализированного использования лекарственного </w:t>
      </w:r>
      <w:r>
        <w:rPr>
          <w:rFonts w:ascii="Arial" w:cs="Arial" w:eastAsia="Arial" w:hAnsi="Arial"/>
          <w:b/>
          <w:bCs/>
          <w:sz w:val="24"/>
          <w:szCs w:val="24"/>
        </w:rPr>
        <w:t xml:space="preserve">препарат</w:t>
      </w:r>
      <w:r>
        <w:rPr>
          <w:rFonts w:ascii="Arial" w:cs="Arial" w:eastAsia="Arial" w:hAnsi="Arial"/>
          <w:sz w:val="24"/>
          <w:szCs w:val="24"/>
        </w:rPr>
        <w:t xml:space="preserve">а, другие программы по поддержке пациентов и мониторингу заболеваний, опросу пациентов или лечащих врачей или сбор информации об эффективности терапии и приверженности пациентов к лечению;</w:t>
      </w:r>
    </w:p>
    <w:p>
      <w:pPr>
        <w:spacing w:after="120"/>
        <w:ind w:firstLine="708"/>
        <w:jc w:val="both"/>
      </w:pPr>
      <w:r>
        <w:rPr>
          <w:rFonts w:ascii="Arial" w:cs="Arial" w:eastAsia="Arial" w:hAnsi="Arial"/>
          <w:b/>
          <w:bCs/>
          <w:sz w:val="24"/>
          <w:szCs w:val="24"/>
        </w:rPr>
        <w:t xml:space="preserve">12) качество системы фармаконадзора</w:t>
      </w:r>
      <w:r>
        <w:rPr>
          <w:rFonts w:ascii="Arial" w:cs="Arial" w:eastAsia="Arial" w:hAnsi="Arial"/>
          <w:sz w:val="24"/>
          <w:szCs w:val="24"/>
        </w:rPr>
        <w:t xml:space="preserve"> – все характеристики системы фармаконадзора, которые в соответствии с оценкой вероятности приводят к результатам, соответствующим целям системы фармаконадзора;</w:t>
      </w:r>
    </w:p>
    <w:p>
      <w:pPr>
        <w:spacing w:after="120"/>
        <w:ind w:firstLine="708"/>
        <w:jc w:val="both"/>
      </w:pPr>
      <w:r>
        <w:rPr>
          <w:rFonts w:ascii="Arial" w:cs="Arial" w:eastAsia="Arial" w:hAnsi="Arial"/>
          <w:b/>
          <w:bCs/>
          <w:sz w:val="24"/>
          <w:szCs w:val="24"/>
        </w:rPr>
        <w:t xml:space="preserve">13) контроль и обеспечение качества системы фармаконадзора</w:t>
      </w:r>
      <w:r>
        <w:rPr>
          <w:rFonts w:ascii="Arial" w:cs="Arial" w:eastAsia="Arial" w:hAnsi="Arial"/>
          <w:sz w:val="24"/>
          <w:szCs w:val="24"/>
        </w:rPr>
        <w:t xml:space="preserve"> – мониторинг, оценка, обеспечение эффективности и соответствия структурных элементов и процессов системы фармаконадзора установленным требованиям;</w:t>
      </w:r>
    </w:p>
    <w:p>
      <w:pPr>
        <w:spacing w:after="120"/>
        <w:ind w:firstLine="708"/>
        <w:jc w:val="both"/>
      </w:pPr>
      <w:r>
        <w:rPr>
          <w:rFonts w:ascii="Arial" w:cs="Arial" w:eastAsia="Arial" w:hAnsi="Arial"/>
          <w:b/>
          <w:bCs/>
          <w:sz w:val="24"/>
          <w:szCs w:val="24"/>
        </w:rPr>
        <w:t xml:space="preserve">14) кумулятивное влияние</w:t>
      </w:r>
      <w:r>
        <w:rPr>
          <w:rFonts w:ascii="Arial" w:cs="Arial" w:eastAsia="Arial" w:hAnsi="Arial"/>
          <w:sz w:val="24"/>
          <w:szCs w:val="24"/>
        </w:rPr>
        <w:t xml:space="preserve"> – это совокупность положительных, нейтральных или отрицательных влияний лекарственного препарата, которые воздействует на здоровье, благополучие и качество жизни отдельного индивида или популяции, в настоящее время или в течение определенного периода времени;</w:t>
      </w:r>
    </w:p>
    <w:p>
      <w:pPr>
        <w:spacing w:after="120"/>
        <w:ind w:firstLine="708"/>
        <w:jc w:val="both"/>
      </w:pPr>
      <w:r>
        <w:rPr>
          <w:rFonts w:ascii="Arial" w:cs="Arial" w:eastAsia="Arial" w:hAnsi="Arial"/>
          <w:b/>
          <w:bCs/>
          <w:sz w:val="24"/>
          <w:szCs w:val="24"/>
        </w:rPr>
        <w:t xml:space="preserve">15) мастер-файл системы фармаконадзора</w:t>
      </w:r>
      <w:r>
        <w:rPr>
          <w:rFonts w:ascii="Arial" w:cs="Arial" w:eastAsia="Arial" w:hAnsi="Arial"/>
          <w:sz w:val="24"/>
          <w:szCs w:val="24"/>
        </w:rPr>
        <w:t xml:space="preserve"> – подробное описание системы фармаконадзора, применяемой держателем регистрационного удостоверения в отношении данных об одном или нескольких зарегистрированных лекарственных препаратах; </w:t>
      </w:r>
    </w:p>
    <w:p>
      <w:pPr>
        <w:spacing w:after="120"/>
        <w:ind w:firstLine="708"/>
        <w:jc w:val="both"/>
      </w:pPr>
      <w:r>
        <w:rPr>
          <w:rFonts w:ascii="Arial" w:cs="Arial" w:eastAsia="Arial" w:hAnsi="Arial"/>
          <w:b/>
          <w:bCs/>
          <w:sz w:val="24"/>
          <w:szCs w:val="24"/>
        </w:rPr>
        <w:t xml:space="preserve">16) медицинские и фармацевтические работники</w:t>
      </w:r>
      <w:r>
        <w:rPr>
          <w:rFonts w:ascii="Arial" w:cs="Arial" w:eastAsia="Arial" w:hAnsi="Arial"/>
          <w:sz w:val="24"/>
          <w:szCs w:val="24"/>
        </w:rPr>
        <w:t xml:space="preserve"> – лица с высшим, средним профессиональным медицинским, фармацевтическим и иным образованием, осуществляющие деятельность в организациях здравоохранения;</w:t>
      </w:r>
    </w:p>
    <w:p>
      <w:pPr>
        <w:spacing w:after="120"/>
        <w:ind w:firstLine="708"/>
        <w:jc w:val="both"/>
      </w:pPr>
      <w:r>
        <w:rPr>
          <w:rFonts w:ascii="Arial" w:cs="Arial" w:eastAsia="Arial" w:hAnsi="Arial"/>
          <w:b/>
          <w:bCs/>
          <w:sz w:val="24"/>
          <w:szCs w:val="24"/>
        </w:rPr>
        <w:t xml:space="preserve">17) международная дата регистрации</w:t>
      </w:r>
      <w:r>
        <w:rPr>
          <w:rFonts w:ascii="Arial" w:cs="Arial" w:eastAsia="Arial" w:hAnsi="Arial"/>
          <w:sz w:val="24"/>
          <w:szCs w:val="24"/>
        </w:rPr>
        <w:t xml:space="preserve"> – дата первой регистрации (одобрения к применению) в любом государстве лекарственного препарата, содержащего определенное действующее вещество;</w:t>
      </w:r>
    </w:p>
    <w:p>
      <w:pPr>
        <w:spacing w:after="120"/>
        <w:ind w:firstLine="708"/>
        <w:jc w:val="both"/>
      </w:pPr>
      <w:r>
        <w:rPr>
          <w:rFonts w:ascii="Arial" w:cs="Arial" w:eastAsia="Arial" w:hAnsi="Arial"/>
          <w:b/>
          <w:bCs/>
          <w:sz w:val="24"/>
          <w:szCs w:val="24"/>
        </w:rPr>
        <w:t xml:space="preserve">18) меры минимизации риска</w:t>
      </w:r>
      <w:r>
        <w:rPr>
          <w:rFonts w:ascii="Arial" w:cs="Arial" w:eastAsia="Arial" w:hAnsi="Arial"/>
          <w:sz w:val="24"/>
          <w:szCs w:val="24"/>
        </w:rPr>
        <w:t xml:space="preserve"> – комплекс мероприятий, направленных на предотвращение или уменьшение вероятности возникновения нежелательных реакций, связанных с воздействием лекарственного препарата, либо на уменьшение степени тяжести или влияния нежелательных реакций на пациента в случае их развития;</w:t>
      </w:r>
    </w:p>
    <w:p>
      <w:pPr>
        <w:spacing w:after="120"/>
        <w:ind w:firstLine="708"/>
        <w:jc w:val="both"/>
      </w:pPr>
      <w:r>
        <w:rPr>
          <w:rFonts w:ascii="Arial" w:cs="Arial" w:eastAsia="Arial" w:hAnsi="Arial"/>
          <w:b/>
          <w:bCs/>
          <w:sz w:val="24"/>
          <w:szCs w:val="24"/>
        </w:rPr>
        <w:t xml:space="preserve">19) минимальные требования к информации в сообщении о нежелательной реакции </w:t>
      </w:r>
      <w:r>
        <w:rPr>
          <w:rFonts w:ascii="Arial" w:cs="Arial" w:eastAsia="Arial" w:hAnsi="Arial"/>
          <w:sz w:val="24"/>
          <w:szCs w:val="24"/>
        </w:rPr>
        <w:t xml:space="preserve">– минимальный набор данных, представляемых в уполномоченные органы, о случаях выявления подозреваемых нежелательных реакций (включая идентифицируемого репортера, идентифицируемого пациента, нежелательную реакцию и подозреваемый лекарственный препарат);</w:t>
      </w:r>
    </w:p>
    <w:p>
      <w:pPr>
        <w:spacing w:after="120"/>
        <w:ind w:firstLine="708"/>
        <w:jc w:val="both"/>
      </w:pPr>
      <w:r>
        <w:rPr>
          <w:rFonts w:ascii="Arial" w:cs="Arial" w:eastAsia="Arial" w:hAnsi="Arial"/>
          <w:b/>
          <w:bCs/>
          <w:sz w:val="24"/>
          <w:szCs w:val="24"/>
        </w:rPr>
        <w:t xml:space="preserve">20) нежелательная реакция</w:t>
      </w:r>
      <w:r>
        <w:rPr>
          <w:rFonts w:ascii="Arial" w:cs="Arial" w:eastAsia="Arial" w:hAnsi="Arial"/>
          <w:sz w:val="24"/>
          <w:szCs w:val="24"/>
        </w:rPr>
        <w:t xml:space="preserve"> – непреднамеренная неблагоприятная реакция организма, связанная с применением лекарственного (исследуемого) препарата;</w:t>
      </w:r>
    </w:p>
    <w:p>
      <w:pPr>
        <w:spacing w:after="120"/>
        <w:ind w:firstLine="708"/>
        <w:jc w:val="both"/>
      </w:pPr>
      <w:r>
        <w:rPr>
          <w:rFonts w:ascii="Arial" w:cs="Arial" w:eastAsia="Arial" w:hAnsi="Arial"/>
          <w:b/>
          <w:bCs/>
          <w:sz w:val="24"/>
          <w:szCs w:val="24"/>
        </w:rPr>
        <w:t xml:space="preserve">21) нежелательное явление</w:t>
      </w:r>
      <w:r>
        <w:rPr>
          <w:rFonts w:ascii="Arial" w:cs="Arial" w:eastAsia="Arial" w:hAnsi="Arial"/>
          <w:sz w:val="24"/>
          <w:szCs w:val="24"/>
        </w:rPr>
        <w:t xml:space="preserve"> – любое неблагоприятное изменение в состоянии здоровья пациента или субъекта клинического исследования, произошедшее после применения лекарственного препарата, независимо от причинно-следственной связи с его применением;</w:t>
      </w:r>
    </w:p>
    <w:p>
      <w:pPr>
        <w:spacing w:after="120"/>
        <w:ind w:firstLine="708"/>
        <w:jc w:val="both"/>
      </w:pPr>
      <w:r>
        <w:rPr>
          <w:rFonts w:ascii="Arial" w:cs="Arial" w:eastAsia="Arial" w:hAnsi="Arial"/>
          <w:b/>
          <w:bCs/>
          <w:sz w:val="24"/>
          <w:szCs w:val="24"/>
        </w:rPr>
        <w:t xml:space="preserve">22) побочное проявление после иммунизации</w:t>
      </w:r>
      <w:r>
        <w:rPr>
          <w:rFonts w:ascii="Arial" w:cs="Arial" w:eastAsia="Arial" w:hAnsi="Arial"/>
          <w:sz w:val="24"/>
          <w:szCs w:val="24"/>
        </w:rPr>
        <w:t xml:space="preserve"> – поствакцинальные осложнения, вызванные профилактическими прививками, включенными в календарь профилактических прививок, а также вызванные профилактическими прививками по эпидемическим показаниям, представляющие любое неблагоприятное с медицинской точки зрения проявление, возникшее после иммунизации;</w:t>
      </w:r>
    </w:p>
    <w:p>
      <w:pPr>
        <w:spacing w:after="120"/>
        <w:ind w:firstLine="708"/>
        <w:jc w:val="both"/>
      </w:pPr>
      <w:r>
        <w:rPr>
          <w:rFonts w:ascii="Arial" w:cs="Arial" w:eastAsia="Arial" w:hAnsi="Arial"/>
          <w:b/>
          <w:bCs/>
          <w:sz w:val="24"/>
          <w:szCs w:val="24"/>
        </w:rPr>
        <w:t xml:space="preserve">23) непредвиденная нежелательная реакция</w:t>
      </w:r>
      <w:r>
        <w:rPr>
          <w:rFonts w:ascii="Arial" w:cs="Arial" w:eastAsia="Arial" w:hAnsi="Arial"/>
          <w:sz w:val="24"/>
          <w:szCs w:val="24"/>
        </w:rPr>
        <w:t xml:space="preserve"> – нежелательная реакция, характер, степень тяжести или исход которой не соответствует информации, содержащейся в действующей общей характеристике лекарственного препарата;</w:t>
      </w:r>
    </w:p>
    <w:p>
      <w:pPr>
        <w:spacing w:after="120"/>
        <w:ind w:firstLine="708"/>
        <w:jc w:val="both"/>
      </w:pPr>
      <w:r>
        <w:rPr>
          <w:rFonts w:ascii="Arial" w:cs="Arial" w:eastAsia="Arial" w:hAnsi="Arial"/>
          <w:b/>
          <w:bCs/>
          <w:sz w:val="24"/>
          <w:szCs w:val="24"/>
        </w:rPr>
        <w:t xml:space="preserve">24) основная информация о безопасности держателя регистрационного удостоверения</w:t>
      </w:r>
      <w:r>
        <w:rPr>
          <w:rFonts w:ascii="Arial" w:cs="Arial" w:eastAsia="Arial" w:hAnsi="Arial"/>
          <w:sz w:val="24"/>
          <w:szCs w:val="24"/>
        </w:rPr>
        <w:t xml:space="preserve"> – информация, имеющая отношение к безопасности лекарственного препарата, содержащаяся в перечне основных данных о лекарственном препарате держателя регистрационного удостоверения, разработанная им и представляемая по его заявлению в уполномоченный орган, на рынках которых реализуется данный лекарственный препарат, за исключением случаев, когда в информацию вносятся изменения по требованию уполномоченного органа;</w:t>
      </w:r>
    </w:p>
    <w:p>
      <w:pPr>
        <w:spacing w:after="120"/>
        <w:ind w:firstLine="708"/>
        <w:jc w:val="both"/>
      </w:pPr>
      <w:r>
        <w:rPr>
          <w:rFonts w:ascii="Arial" w:cs="Arial" w:eastAsia="Arial" w:hAnsi="Arial"/>
          <w:b/>
          <w:bCs/>
          <w:sz w:val="24"/>
          <w:szCs w:val="24"/>
        </w:rPr>
        <w:t xml:space="preserve">25) основные данные о лекарственном средстве держателя регистрационного удостоверения</w:t>
      </w:r>
      <w:r>
        <w:rPr>
          <w:rFonts w:ascii="Arial" w:cs="Arial" w:eastAsia="Arial" w:hAnsi="Arial"/>
          <w:sz w:val="24"/>
          <w:szCs w:val="24"/>
        </w:rPr>
        <w:t xml:space="preserve"> – документ, разработанный держателем регистрационного удостоверения и содержащий информацию о безопасности, показаниях к применению, режиме дозирования, фармакологических свойствах и другую информацию, касающуюся лекарственного препарата;</w:t>
      </w:r>
    </w:p>
    <w:p>
      <w:pPr>
        <w:spacing w:after="120"/>
        <w:ind w:firstLine="708"/>
        <w:jc w:val="both"/>
      </w:pPr>
      <w:r>
        <w:rPr>
          <w:rFonts w:ascii="Arial" w:cs="Arial" w:eastAsia="Arial" w:hAnsi="Arial"/>
          <w:b/>
          <w:bCs/>
          <w:sz w:val="24"/>
          <w:szCs w:val="24"/>
        </w:rPr>
        <w:t xml:space="preserve">26) отсутствующая информация</w:t>
      </w:r>
      <w:r>
        <w:rPr>
          <w:rFonts w:ascii="Arial" w:cs="Arial" w:eastAsia="Arial" w:hAnsi="Arial"/>
          <w:sz w:val="24"/>
          <w:szCs w:val="24"/>
        </w:rPr>
        <w:t xml:space="preserve"> – недостаток сведений о безопасности или особенностях применения лекарственного препарата у определенных групп пациентов, которые могут являться клинически значимыми;</w:t>
      </w:r>
    </w:p>
    <w:p>
      <w:pPr>
        <w:spacing w:after="120"/>
        <w:ind w:firstLine="708"/>
        <w:jc w:val="both"/>
      </w:pPr>
      <w:r>
        <w:rPr>
          <w:rFonts w:ascii="Arial" w:cs="Arial" w:eastAsia="Arial" w:hAnsi="Arial"/>
          <w:b/>
          <w:bCs/>
          <w:sz w:val="24"/>
          <w:szCs w:val="24"/>
        </w:rPr>
        <w:t xml:space="preserve">27) отчет по безопасности разрабатываемого лекарственного препарата</w:t>
      </w:r>
      <w:r>
        <w:rPr>
          <w:rFonts w:ascii="Arial" w:cs="Arial" w:eastAsia="Arial" w:hAnsi="Arial"/>
          <w:sz w:val="24"/>
          <w:szCs w:val="24"/>
        </w:rPr>
        <w:t xml:space="preserve"> – периодический обновляемый отчет по безопасности лекарственного препарата, находящегося в разработке;</w:t>
      </w:r>
    </w:p>
    <w:p>
      <w:pPr>
        <w:spacing w:after="120"/>
        <w:ind w:firstLine="708"/>
        <w:jc w:val="both"/>
      </w:pPr>
      <w:r>
        <w:rPr>
          <w:rFonts w:ascii="Arial" w:cs="Arial" w:eastAsia="Arial" w:hAnsi="Arial"/>
          <w:b/>
          <w:bCs/>
          <w:sz w:val="24"/>
          <w:szCs w:val="24"/>
        </w:rPr>
        <w:t xml:space="preserve">28) оценка сигнала</w:t>
      </w:r>
      <w:r>
        <w:rPr>
          <w:rFonts w:ascii="Arial" w:cs="Arial" w:eastAsia="Arial" w:hAnsi="Arial"/>
          <w:sz w:val="24"/>
          <w:szCs w:val="24"/>
        </w:rPr>
        <w:t xml:space="preserve"> – процесс дальнейшей оценки валидированного сигнала с использованием всех имеющихся данных с целью изучения доказательств причинно-следственной связи нового риска с действующим веществом или лекарственным препаратом либо определения изменения характеристики известного риска;</w:t>
      </w:r>
    </w:p>
    <w:p>
      <w:pPr>
        <w:spacing w:after="120"/>
        <w:ind w:firstLine="708"/>
        <w:jc w:val="both"/>
      </w:pPr>
      <w:r>
        <w:rPr>
          <w:rFonts w:ascii="Arial" w:cs="Arial" w:eastAsia="Arial" w:hAnsi="Arial"/>
          <w:b/>
          <w:bCs/>
          <w:sz w:val="24"/>
          <w:szCs w:val="24"/>
        </w:rPr>
        <w:t xml:space="preserve">29) ошибка применения лекарственного препарата</w:t>
      </w:r>
      <w:r>
        <w:rPr>
          <w:rFonts w:ascii="Arial" w:cs="Arial" w:eastAsia="Arial" w:hAnsi="Arial"/>
          <w:sz w:val="24"/>
          <w:szCs w:val="24"/>
        </w:rPr>
        <w:t xml:space="preserve"> – непреднамеренная ошибка в процессе применения лекарственного препарата, которая привела или могла привести к причинению вреда пациенту;</w:t>
      </w:r>
    </w:p>
    <w:p>
      <w:pPr>
        <w:spacing w:after="120"/>
        <w:ind w:firstLine="708"/>
        <w:jc w:val="both"/>
      </w:pPr>
      <w:r>
        <w:rPr>
          <w:rFonts w:ascii="Arial" w:cs="Arial" w:eastAsia="Arial" w:hAnsi="Arial"/>
          <w:b/>
          <w:bCs/>
          <w:sz w:val="24"/>
          <w:szCs w:val="24"/>
        </w:rPr>
        <w:t xml:space="preserve">30) передозировка</w:t>
      </w:r>
      <w:r>
        <w:rPr>
          <w:rFonts w:ascii="Arial" w:cs="Arial" w:eastAsia="Arial" w:hAnsi="Arial"/>
          <w:sz w:val="24"/>
          <w:szCs w:val="24"/>
        </w:rPr>
        <w:t xml:space="preserve"> – применение лекарственного препарата за                            один прием либо кумулятивно в количестве, которое превышает рекомендуемую максимальную дозу в соответствии с действующей общей характеристикой лекарственного препарата;</w:t>
      </w:r>
    </w:p>
    <w:p>
      <w:pPr>
        <w:spacing w:after="120"/>
        <w:ind w:firstLine="708"/>
        <w:jc w:val="both"/>
      </w:pPr>
      <w:r>
        <w:rPr>
          <w:rFonts w:ascii="Arial" w:cs="Arial" w:eastAsia="Arial" w:hAnsi="Arial"/>
          <w:b/>
          <w:bCs/>
          <w:sz w:val="24"/>
          <w:szCs w:val="24"/>
        </w:rPr>
        <w:t xml:space="preserve">31) периодический обновляемый отчет по безопасности</w:t>
      </w:r>
      <w:r>
        <w:rPr>
          <w:rFonts w:ascii="Arial" w:cs="Arial" w:eastAsia="Arial" w:hAnsi="Arial"/>
          <w:sz w:val="24"/>
          <w:szCs w:val="24"/>
        </w:rPr>
        <w:t xml:space="preserve"> – отчет для представления оценки соотношения «польза – риск» лекарственного препарата держателем регистрационного удостоверения в определенный период времени в течение пострегистрационного этапа;</w:t>
      </w:r>
    </w:p>
    <w:p>
      <w:pPr>
        <w:spacing w:after="120"/>
        <w:ind w:firstLine="708"/>
        <w:jc w:val="both"/>
      </w:pPr>
      <w:r>
        <w:rPr>
          <w:rFonts w:ascii="Arial" w:cs="Arial" w:eastAsia="Arial" w:hAnsi="Arial"/>
          <w:b/>
          <w:bCs/>
          <w:sz w:val="24"/>
          <w:szCs w:val="24"/>
        </w:rPr>
        <w:t xml:space="preserve">32) пострегистрационное исследование безопасности</w:t>
      </w:r>
      <w:r>
        <w:rPr>
          <w:rFonts w:ascii="Arial" w:cs="Arial" w:eastAsia="Arial" w:hAnsi="Arial"/>
          <w:sz w:val="24"/>
          <w:szCs w:val="24"/>
        </w:rPr>
        <w:t xml:space="preserve"> – исследование, имеющее отношение к зарегистрированному лекарственному препарату, проведенное в целях определения характеристики или количественной оценки угрозы безопасности, подтверждения профиля безопасности лекарственного препарата или оценки эффективности мер по управлению рисками;</w:t>
      </w:r>
    </w:p>
    <w:p>
      <w:pPr>
        <w:spacing w:after="120"/>
        <w:ind w:firstLine="708"/>
        <w:jc w:val="both"/>
      </w:pPr>
      <w:r>
        <w:rPr>
          <w:rFonts w:ascii="Arial" w:cs="Arial" w:eastAsia="Arial" w:hAnsi="Arial"/>
          <w:b/>
          <w:bCs/>
          <w:sz w:val="24"/>
          <w:szCs w:val="24"/>
        </w:rPr>
        <w:t xml:space="preserve">33) потенциальный риск </w:t>
      </w:r>
      <w:r>
        <w:rPr>
          <w:rFonts w:ascii="Arial" w:cs="Arial" w:eastAsia="Arial" w:hAnsi="Arial"/>
          <w:sz w:val="24"/>
          <w:szCs w:val="24"/>
        </w:rPr>
        <w:t xml:space="preserve">– нежелательное последствие фармакотерапии, в отношении которого имеются основания для подозрений на наличие взаимосвязи с лекарственным препаратом, которая надлежащим образом не была подтверждена;</w:t>
      </w:r>
    </w:p>
    <w:p>
      <w:pPr>
        <w:spacing w:after="120"/>
        <w:ind w:firstLine="708"/>
        <w:jc w:val="both"/>
      </w:pPr>
      <w:r>
        <w:rPr>
          <w:rFonts w:ascii="Arial" w:cs="Arial" w:eastAsia="Arial" w:hAnsi="Arial"/>
          <w:b/>
          <w:bCs/>
          <w:sz w:val="24"/>
          <w:szCs w:val="24"/>
        </w:rPr>
        <w:t xml:space="preserve">34) применение не в соответствии с общей характеристикой лекарственного препарата или инструкцией по медицинскому применению (off-label)</w:t>
      </w:r>
      <w:r>
        <w:rPr>
          <w:rFonts w:ascii="Arial" w:cs="Arial" w:eastAsia="Arial" w:hAnsi="Arial"/>
          <w:sz w:val="24"/>
          <w:szCs w:val="24"/>
        </w:rPr>
        <w:t xml:space="preserve"> – намеренное применение лекарственного препарата с медицинской целью не в соответствии с условиями, определяемыми общей характеристикой лекарственного препарата или инструкцией по медицинскому применению;</w:t>
      </w:r>
    </w:p>
    <w:p>
      <w:pPr>
        <w:spacing w:after="120"/>
        <w:ind w:firstLine="708"/>
        <w:jc w:val="both"/>
      </w:pPr>
      <w:r>
        <w:rPr>
          <w:rFonts w:ascii="Arial" w:cs="Arial" w:eastAsia="Arial" w:hAnsi="Arial"/>
          <w:b/>
          <w:bCs/>
          <w:sz w:val="24"/>
          <w:szCs w:val="24"/>
        </w:rPr>
        <w:t xml:space="preserve">35) продолжающееся клиническое исследование</w:t>
      </w:r>
      <w:r>
        <w:rPr>
          <w:rFonts w:ascii="Arial" w:cs="Arial" w:eastAsia="Arial" w:hAnsi="Arial"/>
          <w:sz w:val="24"/>
          <w:szCs w:val="24"/>
        </w:rPr>
        <w:t xml:space="preserve"> – исследование, в котором началось включение пациентов, даже если исследование приостановлено или его анализ завершен, но итоговый отчет о нем отсутствует;</w:t>
      </w:r>
    </w:p>
    <w:p>
      <w:pPr>
        <w:spacing w:after="120"/>
        <w:ind w:firstLine="708"/>
        <w:jc w:val="both"/>
      </w:pPr>
      <w:r>
        <w:rPr>
          <w:rFonts w:ascii="Arial" w:cs="Arial" w:eastAsia="Arial" w:hAnsi="Arial"/>
          <w:b/>
          <w:bCs/>
          <w:sz w:val="24"/>
          <w:szCs w:val="24"/>
        </w:rPr>
        <w:t xml:space="preserve">36) прямое информирование медицинских и фармацевтических работников</w:t>
      </w:r>
      <w:r>
        <w:rPr>
          <w:rFonts w:ascii="Arial" w:cs="Arial" w:eastAsia="Arial" w:hAnsi="Arial"/>
          <w:sz w:val="24"/>
          <w:szCs w:val="24"/>
        </w:rPr>
        <w:t xml:space="preserve"> – средство информационного взаимодействия, при помощи которого важная информация предоставляется напрямую держателем регистрационного удостоверения или уполномоченным органом с целью их информирования о необходимости принятия определенных мер или изменения рутинной практики в связи с полученными новыми важными данными о лекарственном препарате;</w:t>
      </w:r>
    </w:p>
    <w:p>
      <w:pPr>
        <w:spacing w:after="120"/>
        <w:ind w:firstLine="708"/>
        <w:jc w:val="both"/>
      </w:pPr>
      <w:r>
        <w:rPr>
          <w:rFonts w:ascii="Arial" w:cs="Arial" w:eastAsia="Arial" w:hAnsi="Arial"/>
          <w:b/>
          <w:bCs/>
          <w:sz w:val="24"/>
          <w:szCs w:val="24"/>
        </w:rPr>
        <w:t xml:space="preserve">37) рассматриваемый сигнал</w:t>
      </w:r>
      <w:r>
        <w:rPr>
          <w:rFonts w:ascii="Arial" w:cs="Arial" w:eastAsia="Arial" w:hAnsi="Arial"/>
          <w:sz w:val="24"/>
          <w:szCs w:val="24"/>
        </w:rPr>
        <w:t xml:space="preserve"> – сигнал, который проходит процедуру оценки по состоянию на дату окончания сбора данных для периодического обновляемого отчета по безопасности;</w:t>
      </w:r>
    </w:p>
    <w:p>
      <w:pPr>
        <w:spacing w:after="120"/>
        <w:ind w:firstLine="708"/>
        <w:jc w:val="both"/>
      </w:pPr>
      <w:r>
        <w:rPr>
          <w:rFonts w:ascii="Arial" w:cs="Arial" w:eastAsia="Arial" w:hAnsi="Arial"/>
          <w:b/>
          <w:bCs/>
          <w:sz w:val="24"/>
          <w:szCs w:val="24"/>
        </w:rPr>
        <w:t xml:space="preserve">38) репортирование</w:t>
      </w:r>
      <w:r>
        <w:rPr>
          <w:rFonts w:ascii="Arial" w:cs="Arial" w:eastAsia="Arial" w:hAnsi="Arial"/>
          <w:sz w:val="24"/>
          <w:szCs w:val="24"/>
        </w:rPr>
        <w:t xml:space="preserve"> – процесс передачи в установленной форме информации о нежелательных реакциях в уполномоченный орган или экспертные комиссии;</w:t>
      </w:r>
    </w:p>
    <w:p>
      <w:pPr>
        <w:spacing w:after="120"/>
        <w:ind w:firstLine="708"/>
        <w:jc w:val="both"/>
      </w:pPr>
      <w:r>
        <w:rPr>
          <w:rFonts w:ascii="Arial" w:cs="Arial" w:eastAsia="Arial" w:hAnsi="Arial"/>
          <w:b/>
          <w:bCs/>
          <w:sz w:val="24"/>
          <w:szCs w:val="24"/>
        </w:rPr>
        <w:t xml:space="preserve">39) риски, связанные с применением лекарственного препарата</w:t>
      </w:r>
      <w:r>
        <w:rPr>
          <w:rFonts w:ascii="Arial" w:cs="Arial" w:eastAsia="Arial" w:hAnsi="Arial"/>
          <w:sz w:val="24"/>
          <w:szCs w:val="24"/>
        </w:rPr>
        <w:t xml:space="preserve"> – риски, связанные с качеством, безопасностью или эффективностью лекарственного препарата по отношению к здоровью пациентов или населения или ведущие к нежелательному воздействию на окружающую среду;</w:t>
      </w:r>
    </w:p>
    <w:p>
      <w:pPr>
        <w:spacing w:after="120"/>
        <w:ind w:firstLine="708"/>
        <w:jc w:val="both"/>
      </w:pPr>
      <w:r>
        <w:rPr>
          <w:rFonts w:ascii="Arial" w:cs="Arial" w:eastAsia="Arial" w:hAnsi="Arial"/>
          <w:b/>
          <w:bCs/>
          <w:sz w:val="24"/>
          <w:szCs w:val="24"/>
        </w:rPr>
        <w:t xml:space="preserve">40) серьезная нежелательная реакция</w:t>
      </w:r>
      <w:r>
        <w:rPr>
          <w:rFonts w:ascii="Arial" w:cs="Arial" w:eastAsia="Arial" w:hAnsi="Arial"/>
          <w:sz w:val="24"/>
          <w:szCs w:val="24"/>
        </w:rPr>
        <w:t xml:space="preserve"> – нежелательная реакция, которая приводит к смерти, представляет угрозу для жизни и здоровья пациента, требует госпитализации пациента или ее продления, приводит к стойкой либо выраженной нетрудоспособности или инвалидности, к врожденным аномалиям или порокам развития;</w:t>
      </w:r>
    </w:p>
    <w:p>
      <w:pPr>
        <w:spacing w:after="120"/>
        <w:ind w:firstLine="708"/>
        <w:jc w:val="both"/>
      </w:pPr>
      <w:r>
        <w:rPr>
          <w:rFonts w:ascii="Arial" w:cs="Arial" w:eastAsia="Arial" w:hAnsi="Arial"/>
          <w:b/>
          <w:bCs/>
          <w:sz w:val="24"/>
          <w:szCs w:val="24"/>
        </w:rPr>
        <w:t xml:space="preserve">41) сигнал</w:t>
      </w:r>
      <w:r>
        <w:rPr>
          <w:rFonts w:ascii="Arial" w:cs="Arial" w:eastAsia="Arial" w:hAnsi="Arial"/>
          <w:sz w:val="24"/>
          <w:szCs w:val="24"/>
        </w:rPr>
        <w:t xml:space="preserve"> – информация, поступающая от одного или нескольких источников, включая наблюдения и эксперименты, которая предполагает наличие новой потенциальной причинно-следственной связи или нового аспекта известной взаимосвязи между воздействием лекарственного препарата и явлением или совокупностью взаимосвязанных явлений, нежелательных или благоприятных, оцениваемая как достаточная для дальнейших действий по верификации сигнала;</w:t>
      </w:r>
    </w:p>
    <w:p>
      <w:pPr>
        <w:spacing w:after="120"/>
        <w:ind w:firstLine="708"/>
        <w:jc w:val="both"/>
      </w:pPr>
      <w:r>
        <w:rPr>
          <w:rFonts w:ascii="Arial" w:cs="Arial" w:eastAsia="Arial" w:hAnsi="Arial"/>
          <w:b/>
          <w:bCs/>
          <w:sz w:val="24"/>
          <w:szCs w:val="24"/>
        </w:rPr>
        <w:t xml:space="preserve">42) система качества системы фармаконадзора</w:t>
      </w:r>
      <w:r>
        <w:rPr>
          <w:rFonts w:ascii="Arial" w:cs="Arial" w:eastAsia="Arial" w:hAnsi="Arial"/>
          <w:sz w:val="24"/>
          <w:szCs w:val="24"/>
        </w:rPr>
        <w:t xml:space="preserve"> – организационная структура, обязанности, процедуры, процессы и ресурсы системы фармаконадзора, включая надлежащее управление ресурсами, документацией и соответствие нормам регулирования;</w:t>
      </w:r>
    </w:p>
    <w:p>
      <w:pPr>
        <w:spacing w:after="120"/>
        <w:ind w:firstLine="708"/>
        <w:jc w:val="both"/>
      </w:pPr>
      <w:r>
        <w:rPr>
          <w:rFonts w:ascii="Arial" w:cs="Arial" w:eastAsia="Arial" w:hAnsi="Arial"/>
          <w:b/>
          <w:bCs/>
          <w:sz w:val="24"/>
          <w:szCs w:val="24"/>
        </w:rPr>
        <w:t xml:space="preserve">43) система управления рисками</w:t>
      </w:r>
      <w:r>
        <w:rPr>
          <w:rFonts w:ascii="Arial" w:cs="Arial" w:eastAsia="Arial" w:hAnsi="Arial"/>
          <w:sz w:val="24"/>
          <w:szCs w:val="24"/>
        </w:rPr>
        <w:t xml:space="preserve"> – комплекс действий и мероприятий по фармаконадзору, направленных на выявление, характеристику, предотвращение или минимизацию рисков, связанных с лекарственными препаратами, включая оценку эффективности этих действий и мероприятий;</w:t>
      </w:r>
    </w:p>
    <w:p>
      <w:pPr>
        <w:spacing w:after="120"/>
        <w:ind w:firstLine="708"/>
        <w:jc w:val="both"/>
      </w:pPr>
      <w:r>
        <w:rPr>
          <w:rFonts w:ascii="Arial" w:cs="Arial" w:eastAsia="Arial" w:hAnsi="Arial"/>
          <w:b/>
          <w:bCs/>
          <w:sz w:val="24"/>
          <w:szCs w:val="24"/>
        </w:rPr>
        <w:t xml:space="preserve">44) система фармаконадзора</w:t>
      </w:r>
      <w:r>
        <w:rPr>
          <w:rFonts w:ascii="Arial" w:cs="Arial" w:eastAsia="Arial" w:hAnsi="Arial"/>
          <w:sz w:val="24"/>
          <w:szCs w:val="24"/>
        </w:rPr>
        <w:t xml:space="preserve"> – система, организуемая держателями регистрационных удостоверений и уполномоченным органом для выполнения задач и обязанностей по фармаконадзору, предназначенная для контроля безопасности лекарственных препаратов, своевременного выявления всех изменений в оценке соотношения «польза – риск» лекарственных препаратов, разработки и внедрения мер по обеспечению применения лекарственных препаратов при превышении пользы над риском;</w:t>
      </w:r>
    </w:p>
    <w:p>
      <w:pPr>
        <w:spacing w:after="120"/>
        <w:ind w:firstLine="708"/>
        <w:jc w:val="both"/>
      </w:pPr>
      <w:r>
        <w:rPr>
          <w:rFonts w:ascii="Arial" w:cs="Arial" w:eastAsia="Arial" w:hAnsi="Arial"/>
          <w:b/>
          <w:bCs/>
          <w:sz w:val="24"/>
          <w:szCs w:val="24"/>
        </w:rPr>
        <w:t xml:space="preserve">45) спонтанное сообщение</w:t>
      </w:r>
      <w:r>
        <w:rPr>
          <w:rFonts w:ascii="Arial" w:cs="Arial" w:eastAsia="Arial" w:hAnsi="Arial"/>
          <w:sz w:val="24"/>
          <w:szCs w:val="24"/>
        </w:rPr>
        <w:t xml:space="preserve"> – добровольная передача медицинским и фармацевтическим работником или потребителем уполномоченному органу, держателю регистрационного удостоверения или другой уполномоченной организации данных, которые содержат описание одной или нескольких нежелательных реакций у пациента, принимавшего один или несколько лекарственных препаратов, и которые не были получены в ходе проведения клинического исследования или применения иного метода организованного сбора данных;</w:t>
      </w:r>
    </w:p>
    <w:p>
      <w:pPr>
        <w:spacing w:after="120"/>
        <w:ind w:firstLine="708"/>
        <w:jc w:val="both"/>
      </w:pPr>
      <w:r>
        <w:rPr>
          <w:rFonts w:ascii="Arial" w:cs="Arial" w:eastAsia="Arial" w:hAnsi="Arial"/>
          <w:b/>
          <w:bCs/>
          <w:sz w:val="24"/>
          <w:szCs w:val="24"/>
        </w:rPr>
        <w:t xml:space="preserve">46) справочная информация о безопасности лекарственного препарата</w:t>
      </w:r>
      <w:r>
        <w:rPr>
          <w:rFonts w:ascii="Arial" w:cs="Arial" w:eastAsia="Arial" w:hAnsi="Arial"/>
          <w:sz w:val="24"/>
          <w:szCs w:val="24"/>
        </w:rPr>
        <w:t xml:space="preserve"> – информация о безопасности лекарственного препарата, которая включена в основную информацию о лекарственном препарате держателя регистрационного удостоверения и которую держатель регистрационного удостоверения должен указать в периодических обновляемых отчетах по безопасности, за исключением случаев, когда уполномоченный орган требует внесение изменений в справочную информацию;</w:t>
      </w:r>
    </w:p>
    <w:p>
      <w:pPr>
        <w:spacing w:after="120"/>
        <w:ind w:firstLine="708"/>
        <w:jc w:val="both"/>
      </w:pPr>
      <w:r>
        <w:rPr>
          <w:rFonts w:ascii="Arial" w:cs="Arial" w:eastAsia="Arial" w:hAnsi="Arial"/>
          <w:b/>
          <w:bCs/>
          <w:sz w:val="24"/>
          <w:szCs w:val="24"/>
        </w:rPr>
        <w:t xml:space="preserve">47) требования к качеству</w:t>
      </w:r>
      <w:r>
        <w:rPr>
          <w:rFonts w:ascii="Arial" w:cs="Arial" w:eastAsia="Arial" w:hAnsi="Arial"/>
          <w:sz w:val="24"/>
          <w:szCs w:val="24"/>
        </w:rPr>
        <w:t xml:space="preserve"> – характеристики системы качества, которые с определенной вероятностью приводят к достижению требуемых результатов или целей системы качества;</w:t>
      </w:r>
    </w:p>
    <w:p>
      <w:pPr>
        <w:spacing w:after="120"/>
        <w:ind w:firstLine="708"/>
        <w:jc w:val="both"/>
      </w:pPr>
      <w:r>
        <w:rPr>
          <w:rFonts w:ascii="Arial" w:cs="Arial" w:eastAsia="Arial" w:hAnsi="Arial"/>
          <w:b/>
          <w:bCs/>
          <w:sz w:val="24"/>
          <w:szCs w:val="24"/>
        </w:rPr>
        <w:t xml:space="preserve">48) улучшение качества</w:t>
      </w:r>
      <w:r>
        <w:rPr>
          <w:rFonts w:ascii="Arial" w:cs="Arial" w:eastAsia="Arial" w:hAnsi="Arial"/>
          <w:sz w:val="24"/>
          <w:szCs w:val="24"/>
        </w:rPr>
        <w:t xml:space="preserve"> – внесение необходимых изменений в структуру и процессы системы качества системы фармаконадзора с целью улучшения системы качества;</w:t>
      </w:r>
    </w:p>
    <w:p>
      <w:pPr>
        <w:spacing w:after="120"/>
        <w:ind w:firstLine="708"/>
        <w:jc w:val="both"/>
      </w:pPr>
      <w:r>
        <w:rPr>
          <w:rFonts w:ascii="Arial" w:cs="Arial" w:eastAsia="Arial" w:hAnsi="Arial"/>
          <w:b/>
          <w:bCs/>
          <w:sz w:val="24"/>
          <w:szCs w:val="24"/>
        </w:rPr>
        <w:t xml:space="preserve">49) уполномоченный орган</w:t>
      </w:r>
      <w:r>
        <w:rPr>
          <w:rFonts w:ascii="Arial" w:cs="Arial" w:eastAsia="Arial" w:hAnsi="Arial"/>
          <w:sz w:val="24"/>
          <w:szCs w:val="24"/>
        </w:rPr>
        <w:t xml:space="preserve"> – подведомственное подразделение уполномоченного государственного органа в сфере здравоохранения по регулированию сферы обращения лекарственных средств и медицинских изделий;</w:t>
      </w:r>
    </w:p>
    <w:p>
      <w:pPr>
        <w:spacing w:after="120"/>
        <w:ind w:firstLine="708"/>
        <w:jc w:val="both"/>
      </w:pPr>
      <w:r>
        <w:rPr>
          <w:rFonts w:ascii="Arial" w:cs="Arial" w:eastAsia="Arial" w:hAnsi="Arial"/>
          <w:b/>
          <w:bCs/>
          <w:sz w:val="24"/>
          <w:szCs w:val="24"/>
        </w:rPr>
        <w:t xml:space="preserve">50) управление сигналом</w:t>
      </w:r>
      <w:r>
        <w:rPr>
          <w:rFonts w:ascii="Arial" w:cs="Arial" w:eastAsia="Arial" w:hAnsi="Arial"/>
          <w:sz w:val="24"/>
          <w:szCs w:val="24"/>
        </w:rPr>
        <w:t xml:space="preserve"> – комплекс мероприятий, проводимых в целях определения наличия новых рисков, связанных с действующим веществом или лекарственным препаратом, или изменения известных рисков по результатам изучения индивидуальных сообщений о нежелательных реакциях, совокупных данных, полученных из действующих систем активного мониторинга или исследований, научной медицинской литературы или иных источников данных, а также в целях принятия необходимых рекомендаций, решений, обмена информацией и прослеживания.</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представления информации</w:t>
      </w:r>
    </w:p>
    <w:p>
      <w:pPr>
        <w:spacing w:after="240" w:before="200"/>
        <w:jc w:val="center"/>
      </w:pPr>
      <w:r>
        <w:rPr>
          <w:rFonts w:ascii="Arial" w:cs="Arial" w:eastAsia="Arial" w:hAnsi="Arial"/>
          <w:b/>
          <w:bCs/>
          <w:sz w:val="32"/>
          <w:szCs w:val="32"/>
        </w:rPr>
        <w:t xml:space="preserve">о нежелательных реакциях применения</w:t>
      </w:r>
    </w:p>
    <w:p>
      <w:pPr>
        <w:spacing w:after="240" w:before="200"/>
        <w:jc w:val="center"/>
      </w:pPr>
      <w:r>
        <w:rPr>
          <w:rFonts w:ascii="Arial" w:cs="Arial" w:eastAsia="Arial" w:hAnsi="Arial"/>
          <w:b/>
          <w:bCs/>
          <w:sz w:val="32"/>
          <w:szCs w:val="32"/>
        </w:rPr>
        <w:t xml:space="preserve">лекарственного препарата</w:t>
      </w:r>
    </w:p>
    <w:p>
      <w:pPr>
        <w:spacing w:after="240" w:before="200"/>
        <w:ind w:firstLine="567"/>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 Информация о подозреваемых нежелательных реакциях на лекарственные препараты от потребителей, их родственников, медицинских и фармацевтических работников, представителей фармацевтических компаний может также направляться в адрес держателей регистрационных удостоверений.</w:t>
      </w:r>
    </w:p>
    <w:p>
      <w:pPr>
        <w:spacing w:after="120"/>
        <w:ind w:firstLine="708"/>
        <w:jc w:val="both"/>
      </w:pPr>
      <w:r>
        <w:rPr>
          <w:rFonts w:ascii="Arial" w:cs="Arial" w:eastAsia="Arial" w:hAnsi="Arial"/>
          <w:sz w:val="24"/>
          <w:szCs w:val="24"/>
        </w:rPr>
        <w:t xml:space="preserve">9. Информация о нежелательной реакции содержит обязательный минимальный объем информации, требуемый для установления оценки причинно-следственной связи между применением лекарственного препарата и развитием нежелательной реакции.</w:t>
      </w:r>
    </w:p>
    <w:p>
      <w:pPr>
        <w:spacing w:after="120"/>
        <w:ind w:firstLine="708"/>
        <w:jc w:val="both"/>
      </w:pPr>
      <w:r>
        <w:rPr>
          <w:rFonts w:ascii="Arial" w:cs="Arial" w:eastAsia="Arial" w:hAnsi="Arial"/>
          <w:sz w:val="24"/>
          <w:szCs w:val="24"/>
        </w:rPr>
        <w:t xml:space="preserve">Минимальные требования к информации в сообщении о нежелательной реакции – минимальные данные при представлении случаев подозреваемых нежелательных реакций включают:</w:t>
      </w:r>
    </w:p>
    <w:p>
      <w:pPr>
        <w:spacing w:after="120"/>
        <w:ind w:firstLine="708"/>
        <w:jc w:val="both"/>
      </w:pPr>
      <w:r>
        <w:rPr>
          <w:rFonts w:ascii="Arial" w:cs="Arial" w:eastAsia="Arial" w:hAnsi="Arial"/>
          <w:sz w:val="24"/>
          <w:szCs w:val="24"/>
        </w:rPr>
        <w:t xml:space="preserve">1) сведения об одном или более идентифицируемом репортере (первоисточнике);</w:t>
      </w:r>
    </w:p>
    <w:p>
      <w:pPr>
        <w:spacing w:after="120"/>
        <w:ind w:firstLine="708"/>
        <w:jc w:val="both"/>
      </w:pPr>
      <w:r>
        <w:rPr>
          <w:rFonts w:ascii="Arial" w:cs="Arial" w:eastAsia="Arial" w:hAnsi="Arial"/>
          <w:sz w:val="24"/>
          <w:szCs w:val="24"/>
        </w:rPr>
        <w:t xml:space="preserve">2) сведения об идентифицируемом пациенте;</w:t>
      </w:r>
    </w:p>
    <w:p>
      <w:pPr>
        <w:spacing w:after="120"/>
        <w:ind w:firstLine="708"/>
        <w:jc w:val="both"/>
      </w:pPr>
      <w:r>
        <w:rPr>
          <w:rFonts w:ascii="Arial" w:cs="Arial" w:eastAsia="Arial" w:hAnsi="Arial"/>
          <w:sz w:val="24"/>
          <w:szCs w:val="24"/>
        </w:rPr>
        <w:t xml:space="preserve">3) сведения об одном или более подозреваемом лекарственном препарате и/или действующем веществе;</w:t>
      </w:r>
    </w:p>
    <w:p>
      <w:pPr>
        <w:spacing w:after="120"/>
        <w:ind w:firstLine="708"/>
        <w:jc w:val="both"/>
      </w:pPr>
      <w:r>
        <w:rPr>
          <w:rFonts w:ascii="Arial" w:cs="Arial" w:eastAsia="Arial" w:hAnsi="Arial"/>
          <w:sz w:val="24"/>
          <w:szCs w:val="24"/>
        </w:rPr>
        <w:t xml:space="preserve">4) сведения об одной или более подозреваемой нежелательной реакции.</w:t>
      </w:r>
    </w:p>
    <w:p>
      <w:pPr>
        <w:spacing w:after="120"/>
        <w:ind w:firstLine="708"/>
        <w:jc w:val="both"/>
      </w:pPr>
      <w:r>
        <w:rPr>
          <w:rFonts w:ascii="Arial" w:cs="Arial" w:eastAsia="Arial" w:hAnsi="Arial"/>
          <w:sz w:val="24"/>
          <w:szCs w:val="24"/>
        </w:rPr>
        <w:t xml:space="preserve">10. Информация о нежелательных реакциях на лекарственные препараты передается через официальный сайт уполномоченного органа, мобильное приложение в режиме онлайн, горячую линию, электронную почту или предоставляется на бумажном носителе в уполномоченный орган по форме, утвержденной уполномоченным государственным органом в сфере здравоохранения.</w:t>
      </w:r>
    </w:p>
    <w:p>
      <w:pPr>
        <w:spacing w:after="120"/>
        <w:ind w:firstLine="708"/>
        <w:jc w:val="both"/>
      </w:pPr>
      <w:r>
        <w:rPr>
          <w:rFonts w:ascii="Arial" w:cs="Arial" w:eastAsia="Arial" w:hAnsi="Arial"/>
          <w:sz w:val="24"/>
          <w:szCs w:val="24"/>
        </w:rPr>
        <w:t xml:space="preserve">11. Руководители организаций, осуществляющих медицинскую и фармацевтическую деятельность, обеспечивают выполнение медицинскими и фармацевтическими работниками обязанностей по представлению в уполномоченный орган информации о выявленных подозреваемых нежелательных реакциях на лекарственные препараты.</w:t>
      </w:r>
    </w:p>
    <w:p>
      <w:pPr>
        <w:spacing w:after="120"/>
        <w:ind w:firstLine="708"/>
        <w:jc w:val="both"/>
      </w:pPr>
      <w:r>
        <w:rPr>
          <w:rFonts w:ascii="Arial" w:cs="Arial" w:eastAsia="Arial" w:hAnsi="Arial"/>
          <w:sz w:val="24"/>
          <w:szCs w:val="24"/>
        </w:rPr>
        <w:t xml:space="preserve">Организации здравоохранения представляют в уполномоченный орган данные уполномоченных лиц по мониторингу нежелательных реакций на лекарственные препараты. </w:t>
      </w:r>
    </w:p>
    <w:p>
      <w:pPr>
        <w:spacing w:after="120"/>
        <w:ind w:firstLine="708"/>
        <w:jc w:val="both"/>
      </w:pPr>
      <w:r>
        <w:rPr>
          <w:rFonts w:ascii="Arial" w:cs="Arial" w:eastAsia="Arial" w:hAnsi="Arial"/>
          <w:sz w:val="24"/>
          <w:szCs w:val="24"/>
        </w:rPr>
        <w:t xml:space="preserve">12. Держатель регистрационного удостоверения обязан информировать уполномоченный орган о своем намерении сделать публичное сообщение или информирование, или размещение информации, относящейся к фармаконадзору или проблемам, связанным с безопасностью, а также связанной с применением соответствующего лекарственного препарата. Держатель регистрационного удостоверения обязан представить информацию в уполномоченный орган для информирования и получения согласования на ее публикацию.</w:t>
      </w:r>
    </w:p>
    <w:p>
      <w:pPr>
        <w:spacing w:after="120"/>
        <w:ind w:firstLine="708"/>
        <w:jc w:val="both"/>
      </w:pPr>
      <w:r>
        <w:rPr>
          <w:rFonts w:ascii="Arial" w:cs="Arial" w:eastAsia="Arial" w:hAnsi="Arial"/>
          <w:sz w:val="24"/>
          <w:szCs w:val="24"/>
        </w:rPr>
        <w:t xml:space="preserve">13.</w:t>
      </w:r>
      <w:r>
        <w:rPr>
          <w:rFonts w:ascii="Arial" w:cs="Arial" w:eastAsia="Arial" w:hAnsi="Arial"/>
          <w:sz w:val="24"/>
          <w:szCs w:val="24"/>
        </w:rPr>
        <w:t xml:space="preserve">Медицинские и фармацевтические работники обязаны представлять информацию обо всех случаях:</w:t>
      </w:r>
    </w:p>
    <w:p>
      <w:pPr>
        <w:spacing w:after="120"/>
        <w:ind w:firstLine="708"/>
        <w:jc w:val="both"/>
      </w:pPr>
      <w:r>
        <w:rPr>
          <w:rFonts w:ascii="Arial" w:cs="Arial" w:eastAsia="Arial" w:hAnsi="Arial"/>
          <w:sz w:val="24"/>
          <w:szCs w:val="24"/>
        </w:rPr>
        <w:t xml:space="preserve">– выявления серьезных нежелательных реакций на лекарственные препараты;</w:t>
      </w:r>
    </w:p>
    <w:p>
      <w:pPr>
        <w:spacing w:after="120"/>
        <w:ind w:firstLine="708"/>
        <w:jc w:val="both"/>
      </w:pPr>
      <w:r>
        <w:rPr>
          <w:rFonts w:ascii="Arial" w:cs="Arial" w:eastAsia="Arial" w:hAnsi="Arial"/>
          <w:sz w:val="24"/>
          <w:szCs w:val="24"/>
        </w:rPr>
        <w:t xml:space="preserve">– выявления нежелательных реакций на лекарственные препараты, в том числе: непредвиденных нежелательных реакций на лекарственные препараты; нежелательных реакций, причиной которых предполагается несоответствие качества лекарственного препарата;</w:t>
      </w:r>
    </w:p>
    <w:p>
      <w:pPr>
        <w:spacing w:after="120"/>
        <w:ind w:firstLine="708"/>
        <w:jc w:val="both"/>
      </w:pPr>
      <w:r>
        <w:rPr>
          <w:rFonts w:ascii="Arial" w:cs="Arial" w:eastAsia="Arial" w:hAnsi="Arial"/>
          <w:sz w:val="24"/>
          <w:szCs w:val="24"/>
        </w:rPr>
        <w:t xml:space="preserve">– отсутствия у лекарственного препарата ожидаемой терапевтической эффективности;</w:t>
      </w:r>
    </w:p>
    <w:p>
      <w:pPr>
        <w:spacing w:after="120"/>
        <w:ind w:firstLine="708"/>
        <w:jc w:val="both"/>
      </w:pPr>
      <w:r>
        <w:rPr>
          <w:rFonts w:ascii="Arial" w:cs="Arial" w:eastAsia="Arial" w:hAnsi="Arial"/>
          <w:sz w:val="24"/>
          <w:szCs w:val="24"/>
        </w:rPr>
        <w:t xml:space="preserve">– развития антибиотикорезистентности на лекарственный препарат при наличии результатов бактериологического исследования, подтверждающих определение резистентных к применявшемуся антибиотику штаммов;</w:t>
      </w:r>
    </w:p>
    <w:p>
      <w:pPr>
        <w:spacing w:after="120"/>
        <w:ind w:firstLine="708"/>
        <w:jc w:val="both"/>
      </w:pPr>
      <w:r>
        <w:rPr>
          <w:rFonts w:ascii="Arial" w:cs="Arial" w:eastAsia="Arial" w:hAnsi="Arial"/>
          <w:sz w:val="24"/>
          <w:szCs w:val="24"/>
        </w:rPr>
        <w:t xml:space="preserve">– ошибки применения лекарственного препарата; </w:t>
      </w:r>
    </w:p>
    <w:p>
      <w:pPr>
        <w:spacing w:after="120"/>
        <w:ind w:firstLine="708"/>
        <w:jc w:val="both"/>
      </w:pPr>
      <w:r>
        <w:rPr>
          <w:rFonts w:ascii="Arial" w:cs="Arial" w:eastAsia="Arial" w:hAnsi="Arial"/>
          <w:sz w:val="24"/>
          <w:szCs w:val="24"/>
        </w:rPr>
        <w:t xml:space="preserve">– применения «вне инструкции»;</w:t>
      </w:r>
    </w:p>
    <w:p>
      <w:pPr>
        <w:spacing w:after="120"/>
        <w:ind w:firstLine="708"/>
        <w:jc w:val="both"/>
      </w:pPr>
      <w:r>
        <w:rPr>
          <w:rFonts w:ascii="Arial" w:cs="Arial" w:eastAsia="Arial" w:hAnsi="Arial"/>
          <w:sz w:val="24"/>
          <w:szCs w:val="24"/>
        </w:rPr>
        <w:t xml:space="preserve">– ранее неизвестных случаях опасных лекарственных взаимодействий при применении лекарственных препаратов;</w:t>
      </w:r>
    </w:p>
    <w:p>
      <w:pPr>
        <w:spacing w:after="120"/>
        <w:ind w:firstLine="708"/>
        <w:jc w:val="both"/>
      </w:pPr>
      <w:r>
        <w:rPr>
          <w:rFonts w:ascii="Arial" w:cs="Arial" w:eastAsia="Arial" w:hAnsi="Arial"/>
          <w:sz w:val="24"/>
          <w:szCs w:val="24"/>
        </w:rPr>
        <w:t xml:space="preserve">– развития нежелательных реакций при применении лекарственных препаратов, подлежащих дополнительному мониторингу;</w:t>
      </w:r>
    </w:p>
    <w:p>
      <w:pPr>
        <w:spacing w:after="120"/>
        <w:ind w:firstLine="708"/>
        <w:jc w:val="both"/>
      </w:pPr>
      <w:r>
        <w:rPr>
          <w:rFonts w:ascii="Arial" w:cs="Arial" w:eastAsia="Arial" w:hAnsi="Arial"/>
          <w:sz w:val="24"/>
          <w:szCs w:val="24"/>
        </w:rPr>
        <w:t xml:space="preserve">– развития нежелательных реакций при применении лекарственных препаратов по процедуре обеспечения раннего доступа пациентов к новым методам лечения.</w:t>
      </w:r>
    </w:p>
    <w:p>
      <w:pPr>
        <w:spacing w:after="120"/>
        <w:ind w:firstLine="708"/>
        <w:jc w:val="both"/>
      </w:pPr>
      <w:r>
        <w:rPr>
          <w:rFonts w:ascii="Arial" w:cs="Arial" w:eastAsia="Arial" w:hAnsi="Arial"/>
          <w:sz w:val="24"/>
          <w:szCs w:val="24"/>
        </w:rPr>
        <w:t xml:space="preserve">14. Сроки предоставления информации о нежелательных реакциях на лекарственные препараты в случаях их выявления медицинскими и фармацевтическими работниками на территории Кыргызской Республики:</w:t>
      </w:r>
    </w:p>
    <w:p>
      <w:pPr>
        <w:spacing w:after="120"/>
        <w:ind w:firstLine="708"/>
        <w:jc w:val="both"/>
      </w:pPr>
      <w:r>
        <w:rPr>
          <w:rFonts w:ascii="Arial" w:cs="Arial" w:eastAsia="Arial" w:hAnsi="Arial"/>
          <w:sz w:val="24"/>
          <w:szCs w:val="24"/>
        </w:rPr>
        <w:t xml:space="preserve">– незамедлительно, но не позднее 48 часов с момента наступления случая серьезной нежелательной реакции;</w:t>
      </w:r>
    </w:p>
    <w:p>
      <w:pPr>
        <w:spacing w:after="120"/>
        <w:ind w:firstLine="708"/>
        <w:jc w:val="both"/>
      </w:pPr>
      <w:r>
        <w:rPr>
          <w:rFonts w:ascii="Arial" w:cs="Arial" w:eastAsia="Arial" w:hAnsi="Arial"/>
          <w:sz w:val="24"/>
          <w:szCs w:val="24"/>
        </w:rPr>
        <w:t xml:space="preserve">– в течение 10 календарных дней со дня наступления случая нежелательной реакции;</w:t>
      </w:r>
    </w:p>
    <w:p>
      <w:pPr>
        <w:spacing w:after="120"/>
        <w:ind w:firstLine="708"/>
        <w:jc w:val="both"/>
      </w:pPr>
      <w:r>
        <w:rPr>
          <w:rFonts w:ascii="Arial" w:cs="Arial" w:eastAsia="Arial" w:hAnsi="Arial"/>
          <w:sz w:val="24"/>
          <w:szCs w:val="24"/>
        </w:rPr>
        <w:t xml:space="preserve">– после выявления отсутствия у лекарственного препарата ожидаемой терапевтической эффективности в течении 10 календарных дней.</w:t>
      </w:r>
    </w:p>
    <w:p>
      <w:pPr>
        <w:spacing w:after="120"/>
        <w:ind w:firstLine="708"/>
        <w:jc w:val="both"/>
      </w:pPr>
      <w:r>
        <w:rPr>
          <w:rFonts w:ascii="Arial" w:cs="Arial" w:eastAsia="Arial" w:hAnsi="Arial"/>
          <w:sz w:val="24"/>
          <w:szCs w:val="24"/>
        </w:rPr>
        <w:t xml:space="preserve">Уполномоченный орган при проведении анализа представленной информации о нежелательных реакциях на лекарственные препараты в случае необходимости запрашивает у медицинских и фармацевтических работников дополнительную информацию о нежелательных реакциях. При этом запрашиваемая информация должна быть предоставлена в срок не позднее 14 календарных дней                    со дня получения письменного запроса.</w:t>
      </w:r>
    </w:p>
    <w:p>
      <w:pPr>
        <w:spacing w:after="120"/>
        <w:ind w:firstLine="708"/>
        <w:jc w:val="both"/>
      </w:pPr>
      <w:r>
        <w:rPr>
          <w:rFonts w:ascii="Arial" w:cs="Arial" w:eastAsia="Arial" w:hAnsi="Arial"/>
          <w:sz w:val="24"/>
          <w:szCs w:val="24"/>
        </w:rPr>
        <w:t xml:space="preserve">15. Держатели регистрационных удостоверений в течение                           15 календарных дней с даты получения сведений о серьезных нежелательных реакциях представляют в уполномоченный орган:</w:t>
      </w:r>
    </w:p>
    <w:p>
      <w:pPr>
        <w:spacing w:after="120"/>
        <w:ind w:firstLine="708"/>
        <w:jc w:val="both"/>
      </w:pPr>
      <w:r>
        <w:rPr>
          <w:rFonts w:ascii="Arial" w:cs="Arial" w:eastAsia="Arial" w:hAnsi="Arial"/>
          <w:sz w:val="24"/>
          <w:szCs w:val="24"/>
        </w:rPr>
        <w:t xml:space="preserve">– сообщение о серьезных нежелательных реакциях, выявленных на территории Кыргызской Республики;</w:t>
      </w:r>
    </w:p>
    <w:p>
      <w:pPr>
        <w:spacing w:after="120"/>
        <w:ind w:firstLine="708"/>
        <w:jc w:val="both"/>
      </w:pPr>
      <w:r>
        <w:rPr>
          <w:rFonts w:ascii="Arial" w:cs="Arial" w:eastAsia="Arial" w:hAnsi="Arial"/>
          <w:sz w:val="24"/>
          <w:szCs w:val="24"/>
        </w:rPr>
        <w:t xml:space="preserve">– сообщение о серьезных непредвиденных нежелательных реакциях, выявленных на территориях других государств; </w:t>
      </w:r>
    </w:p>
    <w:p>
      <w:pPr>
        <w:spacing w:after="120"/>
        <w:ind w:firstLine="708"/>
        <w:jc w:val="both"/>
      </w:pPr>
      <w:r>
        <w:rPr>
          <w:rFonts w:ascii="Arial" w:cs="Arial" w:eastAsia="Arial" w:hAnsi="Arial"/>
          <w:sz w:val="24"/>
          <w:szCs w:val="24"/>
        </w:rPr>
        <w:t xml:space="preserve">– сообщение о серьезной непредвиденной нежелательной реакции на исследуемый лекарственный препарат, выявленной в ходе клинических исследований: в течение 7 календарных дней с даты получения информации о выявлении серьезной непредвиденной нежелательной реакции – в случае если они привели к смерти или представляли угрозу для жизни; в срок до 15 календарных дней от даты получения информации – для остальных серьезных непредвиденных нежелательных реакций.</w:t>
      </w:r>
    </w:p>
    <w:p>
      <w:pPr>
        <w:spacing w:after="120"/>
        <w:ind w:firstLine="708"/>
        <w:jc w:val="both"/>
      </w:pPr>
      <w:r>
        <w:rPr>
          <w:rFonts w:ascii="Arial" w:cs="Arial" w:eastAsia="Arial" w:hAnsi="Arial"/>
          <w:sz w:val="24"/>
          <w:szCs w:val="24"/>
        </w:rPr>
        <w:t xml:space="preserve">В определенных случаях может потребоваться представление сообщений об отсутствии терапевтической эффективности в течение       15 календарных дней. К таким случаям относятся отсутствие терапевтической эффективности при применении подозреваемого лекарственного препарата для лечения заболеваний, представляющих угрозу жизни (включая угрожающие жизни инфекционные заболевания, вызванные чувствительными микроорганизмами либо сопровождающиеся появлением нового устойчивого штамма микроорганизма, ранее считавшегося восприимчивым), а также если подозреваемыми лекарственными препаратами являются вакцины и контрацептивы.</w:t>
      </w:r>
    </w:p>
    <w:p>
      <w:pPr>
        <w:spacing w:after="120"/>
        <w:ind w:firstLine="708"/>
        <w:jc w:val="both"/>
      </w:pPr>
      <w:r>
        <w:rPr>
          <w:rFonts w:ascii="Arial" w:cs="Arial" w:eastAsia="Arial" w:hAnsi="Arial"/>
          <w:sz w:val="24"/>
          <w:szCs w:val="24"/>
        </w:rPr>
        <w:t xml:space="preserve">Установленный срок репортирования распространяется на первичную и дополнительную информацию о нежелательной реакции.</w:t>
      </w:r>
    </w:p>
    <w:p>
      <w:pPr>
        <w:spacing w:after="120"/>
        <w:ind w:firstLine="708"/>
        <w:jc w:val="both"/>
      </w:pPr>
      <w:r>
        <w:rPr>
          <w:rFonts w:ascii="Arial" w:cs="Arial" w:eastAsia="Arial" w:hAnsi="Arial"/>
          <w:sz w:val="24"/>
          <w:szCs w:val="24"/>
        </w:rPr>
        <w:t xml:space="preserve">Отсчет времени для выполнения процедуры срочного репортирования сообщений начинается с того момента, когда минимальная требуемая информация для представления сообщения в соответствии с настоящим Порядком стала доступна держателю регистрационного удостоверения. Эта дата считается датой начала отсчета («день ноль») и первым днем получения уполномоченным органом или держателем регистрационного удостоверения информации о валидном индивидуальном сообщении о нежелательной реакции, включая выходные или праздничные дни.</w:t>
      </w:r>
    </w:p>
    <w:p>
      <w:pPr>
        <w:spacing w:after="120"/>
        <w:ind w:firstLine="708"/>
        <w:jc w:val="both"/>
      </w:pPr>
      <w:r>
        <w:rPr>
          <w:rFonts w:ascii="Arial" w:cs="Arial" w:eastAsia="Arial" w:hAnsi="Arial"/>
          <w:sz w:val="24"/>
          <w:szCs w:val="24"/>
        </w:rPr>
        <w:t xml:space="preserve">16. Индивидуальные сообщения о нежелательных реакциях представляются держателями регистрационных удостоверений в уполномоченный орган в электронном виде. Формат индивидуальных сообщений о нежелательных реакциях должен соответствовать формату, определенному уполномоченным органом.</w:t>
      </w:r>
    </w:p>
    <w:p>
      <w:pPr>
        <w:spacing w:after="120"/>
        <w:ind w:firstLine="708"/>
        <w:jc w:val="both"/>
      </w:pPr>
      <w:r>
        <w:rPr>
          <w:rFonts w:ascii="Arial" w:cs="Arial" w:eastAsia="Arial" w:hAnsi="Arial"/>
          <w:sz w:val="24"/>
          <w:szCs w:val="24"/>
        </w:rPr>
        <w:t xml:space="preserve">17. Держатели регистрационного удостоверения сообщают о несерьезных нежелательных реакциях на лекарственные препараты, выявленных на территории Кыргызской Республики, в течение                         90 календарных дней независимо от того, ожидаемая или неожиданная нежелательная реакция. Случаи несерьезных нежелательных реакций на лекарственные препараты, выявленных на территории других стран, связанные с лекарственными препаратами, зарегистрированными в Кыргызской Республике, должны быть включены в периодические обновляемые отчеты по безопасности.</w:t>
      </w:r>
    </w:p>
    <w:p>
      <w:pPr>
        <w:spacing w:after="120"/>
        <w:ind w:firstLine="708"/>
        <w:jc w:val="both"/>
      </w:pPr>
      <w:r>
        <w:rPr>
          <w:rFonts w:ascii="Arial" w:cs="Arial" w:eastAsia="Arial" w:hAnsi="Arial"/>
          <w:sz w:val="24"/>
          <w:szCs w:val="24"/>
        </w:rPr>
        <w:t xml:space="preserve">Информация по безопасности и эффективности, свидетельствующая об изменениях в соотношении «польза – риск» лекарственного препарата и подлежащая срочному представлению в соответствии с Правилами надлежащей практики фармаконадзора, предоставляется держателями регистрационного удостоверения за подписью руководителя держателя регистрационного удостоверения либо иного уполномоченного им лица.</w:t>
      </w:r>
    </w:p>
    <w:p>
      <w:pPr>
        <w:spacing w:after="120"/>
        <w:ind w:firstLine="708"/>
        <w:jc w:val="both"/>
      </w:pPr>
      <w:r>
        <w:rPr>
          <w:rFonts w:ascii="Arial" w:cs="Arial" w:eastAsia="Arial" w:hAnsi="Arial"/>
          <w:sz w:val="24"/>
          <w:szCs w:val="24"/>
        </w:rPr>
        <w:t xml:space="preserve">18. Потребитель имеет право сообщить информацию о нежелательных явлениях применения лекарственных препаратов любым удобным для него из способов, указанных в пункте 10 настоящего Порядка.</w:t>
      </w:r>
    </w:p>
    <w:p>
      <w:pPr>
        <w:spacing w:after="120"/>
        <w:ind w:firstLine="708"/>
        <w:jc w:val="both"/>
      </w:pPr>
      <w:r>
        <w:rPr>
          <w:rFonts w:ascii="Arial" w:cs="Arial" w:eastAsia="Arial" w:hAnsi="Arial"/>
          <w:sz w:val="24"/>
          <w:szCs w:val="24"/>
        </w:rPr>
        <w:t xml:space="preserve">19. Уполномоченный орган осуществляет прием, учет, обработку, анализ и оценку полученной информации о нежелательных реакциях на лекарственные препараты согласно Правил надлежащей практики фармаконадзора.</w:t>
      </w:r>
    </w:p>
    <w:p>
      <w:pPr>
        <w:spacing w:after="120"/>
        <w:ind w:firstLine="708"/>
        <w:jc w:val="both"/>
      </w:pPr>
      <w:r>
        <w:rPr>
          <w:rFonts w:ascii="Arial" w:cs="Arial" w:eastAsia="Arial" w:hAnsi="Arial"/>
          <w:sz w:val="24"/>
          <w:szCs w:val="24"/>
        </w:rPr>
        <w:t xml:space="preserve">Уполномоченный орган имеет право сообщать о выявленных на территории Кыргызской Республики подозреваемых нежелательных реакциях на лекарственные препараты в Сотрудничающий центр Всемирной организации здравоохранения с целью их включения в базу данных нежелательных реакций Всемирной организации здравоохранения.</w:t>
      </w:r>
    </w:p>
    <w:p>
      <w:pPr>
        <w:spacing w:after="120"/>
        <w:ind w:firstLine="708"/>
        <w:jc w:val="both"/>
      </w:pPr>
      <w:r>
        <w:rPr>
          <w:rFonts w:ascii="Arial" w:cs="Arial" w:eastAsia="Arial" w:hAnsi="Arial"/>
          <w:sz w:val="24"/>
          <w:szCs w:val="24"/>
        </w:rPr>
        <w:t xml:space="preserve">20. По официальному запросу держателя регистрационного удостоверения уполномоченный орган предоставляет информацию о поступивших нежелательных реакциях на указанные лекарственные препараты запрашивающего держателя регистрационного удостоверения в течение 60 календарных дней за период не более                        1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осуществления сбора информации о нежелательных реакциях на лекарственные препараты</w:t>
      </w:r>
    </w:p>
    <w:p>
      <w:pPr>
        <w:spacing w:after="120"/>
        <w:ind w:firstLine="567"/>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21. Организации здравоохранения организуют работу путем:</w:t>
      </w:r>
    </w:p>
    <w:p>
      <w:pPr>
        <w:spacing w:after="120"/>
        <w:ind w:firstLine="708"/>
        <w:jc w:val="both"/>
      </w:pPr>
      <w:r>
        <w:rPr>
          <w:rFonts w:ascii="Arial" w:cs="Arial" w:eastAsia="Arial" w:hAnsi="Arial"/>
          <w:sz w:val="24"/>
          <w:szCs w:val="24"/>
        </w:rPr>
        <w:t xml:space="preserve">– назначения уполномоченных лиц по мониторингу нежелательных реакций на лекарственные препараты;</w:t>
      </w:r>
    </w:p>
    <w:p>
      <w:pPr>
        <w:spacing w:after="120"/>
        <w:ind w:firstLine="708"/>
        <w:jc w:val="both"/>
      </w:pPr>
      <w:r>
        <w:rPr>
          <w:rFonts w:ascii="Arial" w:cs="Arial" w:eastAsia="Arial" w:hAnsi="Arial"/>
          <w:sz w:val="24"/>
          <w:szCs w:val="24"/>
        </w:rPr>
        <w:t xml:space="preserve">– разработки стандартных рабочих процедур по мониторингу, регистрации в медицинской документации и своевременному предоставлению информации о нежелательных реакциях на лекарственные препараты;</w:t>
      </w:r>
    </w:p>
    <w:p>
      <w:pPr>
        <w:spacing w:after="120"/>
        <w:ind w:firstLine="708"/>
        <w:jc w:val="both"/>
      </w:pPr>
      <w:r>
        <w:rPr>
          <w:rFonts w:ascii="Arial" w:cs="Arial" w:eastAsia="Arial" w:hAnsi="Arial"/>
          <w:sz w:val="24"/>
          <w:szCs w:val="24"/>
        </w:rPr>
        <w:t xml:space="preserve">– предоставления отчета о нежелательных реакциях на лекарственные препараты в уполномоченный орган.</w:t>
      </w:r>
    </w:p>
    <w:p>
      <w:pPr>
        <w:spacing w:after="120"/>
        <w:ind w:firstLine="708"/>
        <w:jc w:val="both"/>
      </w:pPr>
      <w:r>
        <w:rPr>
          <w:rFonts w:ascii="Arial" w:cs="Arial" w:eastAsia="Arial" w:hAnsi="Arial"/>
          <w:sz w:val="24"/>
          <w:szCs w:val="24"/>
        </w:rPr>
        <w:t xml:space="preserve">22. Держатель регистрационного удостоверения лекарственного средства, находящегося в обращении на территории Кыргызской Республики, обеспечивает: </w:t>
      </w:r>
    </w:p>
    <w:p>
      <w:pPr>
        <w:spacing w:after="120"/>
        <w:ind w:firstLine="708"/>
        <w:jc w:val="both"/>
      </w:pPr>
      <w:r>
        <w:rPr>
          <w:rFonts w:ascii="Arial" w:cs="Arial" w:eastAsia="Arial" w:hAnsi="Arial"/>
          <w:sz w:val="24"/>
          <w:szCs w:val="24"/>
        </w:rPr>
        <w:t xml:space="preserve">– наличие уполномоченного лица по фармаконадзору на территории Кыргызской Республики или стран ЕАЭС и контактного лица по фармаконадзору, находящегося в постоянном распоряжении держателя регистрационного удостоверения, проживающего и работающего на территории Кыргызской Республики, подчиненного уполномоченному лицу по фармаконадзору, обладающего высшим фармацевтическим или медицинским образованием;</w:t>
      </w:r>
    </w:p>
    <w:p>
      <w:pPr>
        <w:spacing w:after="120"/>
        <w:ind w:firstLine="708"/>
        <w:jc w:val="both"/>
      </w:pPr>
      <w:r>
        <w:rPr>
          <w:rFonts w:ascii="Arial" w:cs="Arial" w:eastAsia="Arial" w:hAnsi="Arial"/>
          <w:sz w:val="24"/>
          <w:szCs w:val="24"/>
        </w:rPr>
        <w:t xml:space="preserve">– уведомление уполномоченного органа об изменении контактной информации или смене уполномоченного лица (контактного лица) по фармаконадзору;</w:t>
      </w:r>
    </w:p>
    <w:p>
      <w:pPr>
        <w:spacing w:after="120"/>
        <w:ind w:firstLine="708"/>
        <w:jc w:val="both"/>
      </w:pPr>
      <w:r>
        <w:rPr>
          <w:rFonts w:ascii="Arial" w:cs="Arial" w:eastAsia="Arial" w:hAnsi="Arial"/>
          <w:sz w:val="24"/>
          <w:szCs w:val="24"/>
        </w:rPr>
        <w:t xml:space="preserve">– представление в уполномоченный орган в срок, не позднее 10 рабочих дней со дня назначения нового уполномоченного лица по фармаконадзору и/или контактного лица по фармаконадзору, копии приказа о его назначении и должностную инструкцию при смене уполномоченного лица по фармаконадзору и (или) или контактного лица по фармаконадзору,</w:t>
      </w:r>
    </w:p>
    <w:p>
      <w:pPr>
        <w:spacing w:after="120"/>
        <w:ind w:firstLine="708"/>
        <w:jc w:val="both"/>
      </w:pPr>
      <w:r>
        <w:rPr>
          <w:rFonts w:ascii="Arial" w:cs="Arial" w:eastAsia="Arial" w:hAnsi="Arial"/>
          <w:sz w:val="24"/>
          <w:szCs w:val="24"/>
        </w:rPr>
        <w:t xml:space="preserve">– создание и поддержание в актуальном состоянии мастер-файла системы фармаконадзора;</w:t>
      </w:r>
    </w:p>
    <w:p>
      <w:pPr>
        <w:spacing w:after="120"/>
        <w:ind w:firstLine="708"/>
        <w:jc w:val="both"/>
      </w:pPr>
      <w:r>
        <w:rPr>
          <w:rFonts w:ascii="Arial" w:cs="Arial" w:eastAsia="Arial" w:hAnsi="Arial"/>
          <w:sz w:val="24"/>
          <w:szCs w:val="24"/>
        </w:rPr>
        <w:t xml:space="preserve">– организацию и поддерживание системы сбора и регистрации всех сообщений о подозреваемых нежелательных реакциях на лекарственные препараты, которые поступают в его распоряжение как в рамках спонтанного репортирования специалистами системы здравоохранения, потребителями, так и в ходе проведения пострегистрационных исследований;</w:t>
      </w:r>
    </w:p>
    <w:p>
      <w:pPr>
        <w:spacing w:after="120"/>
        <w:ind w:firstLine="708"/>
        <w:jc w:val="both"/>
      </w:pPr>
      <w:r>
        <w:rPr>
          <w:rFonts w:ascii="Arial" w:cs="Arial" w:eastAsia="Arial" w:hAnsi="Arial"/>
          <w:sz w:val="24"/>
          <w:szCs w:val="24"/>
        </w:rPr>
        <w:t xml:space="preserve">– разработку и внедрение процедур, обеспечивающих получение точных и проверяемых данных для последующей научной оценки сообщений о нежелательных реакциях;</w:t>
      </w:r>
    </w:p>
    <w:p>
      <w:pPr>
        <w:spacing w:after="120"/>
        <w:ind w:firstLine="708"/>
        <w:jc w:val="both"/>
      </w:pPr>
      <w:r>
        <w:rPr>
          <w:rFonts w:ascii="Arial" w:cs="Arial" w:eastAsia="Arial" w:hAnsi="Arial"/>
          <w:sz w:val="24"/>
          <w:szCs w:val="24"/>
        </w:rPr>
        <w:t xml:space="preserve">– ведение базы данных о выявленных нежелательных реакциях на лекарственные препараты на территории Кыргызской Республики;</w:t>
      </w:r>
    </w:p>
    <w:p>
      <w:pPr>
        <w:spacing w:after="120"/>
        <w:ind w:firstLine="708"/>
        <w:jc w:val="both"/>
      </w:pPr>
      <w:r>
        <w:rPr>
          <w:rFonts w:ascii="Arial" w:cs="Arial" w:eastAsia="Arial" w:hAnsi="Arial"/>
          <w:sz w:val="24"/>
          <w:szCs w:val="24"/>
        </w:rPr>
        <w:t xml:space="preserve">– уведомление уполномоченного органа о любых запретах или ограничениях в применении, принятых в других странах, в отношении зарегистрированного лекарственного препарата, а также о любой новой информации, влияющей на оценку соотношения «польза – риск».</w:t>
      </w:r>
    </w:p>
    <w:p>
      <w:pPr>
        <w:spacing w:after="120"/>
        <w:ind w:firstLine="708"/>
        <w:jc w:val="both"/>
      </w:pPr>
      <w:r>
        <w:rPr>
          <w:rFonts w:ascii="Arial" w:cs="Arial" w:eastAsia="Arial" w:hAnsi="Arial"/>
          <w:sz w:val="24"/>
          <w:szCs w:val="24"/>
        </w:rPr>
        <w:t xml:space="preserve">23. Мастер-файл системы фармаконадзора, описывающий систему фармаконадзора держателя регистрационного удостоверения, предоставляется по запросу уполномоченного органа в срок не более чем 7 рабочих дней после получения соответствующего запроса.</w:t>
      </w:r>
    </w:p>
    <w:p>
      <w:pPr>
        <w:spacing w:after="120"/>
        <w:ind w:firstLine="708"/>
        <w:jc w:val="both"/>
      </w:pPr>
      <w:r>
        <w:rPr>
          <w:rFonts w:ascii="Arial" w:cs="Arial" w:eastAsia="Arial" w:hAnsi="Arial"/>
          <w:sz w:val="24"/>
          <w:szCs w:val="24"/>
        </w:rPr>
        <w:t xml:space="preserve">24. В рамках фармаконадзора уполномоченный орган осуществляет оценку соотношения «польза – риск» зарегистрированных и находящихся в обращении на территории Кыргызской Республики лекарственных препаратов.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4. Управление сигналом</w:t>
      </w:r>
    </w:p>
    <w:p>
      <w:pPr>
        <w:spacing w:after="12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25. Для выявления сигнала, связанного с безопасностью лекарственного средства, уполномоченный орган сотрудничает с международными организациями и на постоянной основе осуществляет систематическое изучение данных научно-медицинской литературы (зарубежных и местных изданий), сайтов регуляторных органов других стран.</w:t>
      </w:r>
    </w:p>
    <w:p>
      <w:pPr>
        <w:spacing w:after="120"/>
        <w:ind w:firstLine="708"/>
        <w:jc w:val="both"/>
      </w:pPr>
      <w:r>
        <w:rPr>
          <w:rFonts w:ascii="Arial" w:cs="Arial" w:eastAsia="Arial" w:hAnsi="Arial"/>
          <w:sz w:val="24"/>
          <w:szCs w:val="24"/>
        </w:rPr>
        <w:t xml:space="preserve">26. Выявление и оценка сигнала предусматривает изучение всей имеющейся информации (фармакологической, медицинской, эпидемиологической и др.) по соответствующему сигналу. </w:t>
      </w:r>
    </w:p>
    <w:p>
      <w:pPr>
        <w:spacing w:after="120"/>
        <w:ind w:firstLine="708"/>
        <w:jc w:val="both"/>
      </w:pPr>
      <w:r>
        <w:rPr>
          <w:rFonts w:ascii="Arial" w:cs="Arial" w:eastAsia="Arial" w:hAnsi="Arial"/>
          <w:sz w:val="24"/>
          <w:szCs w:val="24"/>
        </w:rPr>
        <w:t xml:space="preserve">Обзор информации включает доступные научные и клинические данные, включая данные регистрационного досье лекарственного препарата, статьи в медицинской литературе, спонтанные сообщения и информацию от держателей регистрационных удостоверений и регуляторных органов других стран. В случае получения информации из нескольких источников, учитывается уровень их доказательности.</w:t>
      </w:r>
    </w:p>
    <w:p>
      <w:pPr>
        <w:spacing w:after="120"/>
        <w:ind w:firstLine="708"/>
        <w:jc w:val="both"/>
      </w:pPr>
      <w:r>
        <w:rPr>
          <w:rFonts w:ascii="Arial" w:cs="Arial" w:eastAsia="Arial" w:hAnsi="Arial"/>
          <w:sz w:val="24"/>
          <w:szCs w:val="24"/>
        </w:rPr>
        <w:t xml:space="preserve">27. По результатам оценки сигнала уполномоченный орган направляет держателю регистрационного удостоверения соответствующую информацию:</w:t>
      </w:r>
    </w:p>
    <w:p>
      <w:pPr>
        <w:spacing w:after="120"/>
        <w:ind w:firstLine="708"/>
        <w:jc w:val="both"/>
      </w:pPr>
      <w:r>
        <w:rPr>
          <w:rFonts w:ascii="Arial" w:cs="Arial" w:eastAsia="Arial" w:hAnsi="Arial"/>
          <w:sz w:val="24"/>
          <w:szCs w:val="24"/>
        </w:rPr>
        <w:t xml:space="preserve">1) о приостановке действия регистрационного удостоверения лекарственного препарата до завершения оценки сигнала при наличии потенциальной угрозы здоровью человека и (или) общественному здравоохранению;</w:t>
      </w:r>
    </w:p>
    <w:p>
      <w:pPr>
        <w:spacing w:after="120"/>
        <w:ind w:firstLine="708"/>
        <w:jc w:val="both"/>
      </w:pPr>
      <w:r>
        <w:rPr>
          <w:rFonts w:ascii="Arial" w:cs="Arial" w:eastAsia="Arial" w:hAnsi="Arial"/>
          <w:sz w:val="24"/>
          <w:szCs w:val="24"/>
        </w:rPr>
        <w:t xml:space="preserve">2) о проведении дополнительного изучения, принятии и (или) разработке мер по минимизации рисков, если механизмы развития подозреваемой нежелательной реакции указывают на возможность предупреждения или снижение степени тяжести нежелательной реакции;</w:t>
      </w:r>
    </w:p>
    <w:p>
      <w:pPr>
        <w:spacing w:after="120"/>
        <w:ind w:firstLine="708"/>
        <w:jc w:val="both"/>
      </w:pPr>
      <w:r>
        <w:rPr>
          <w:rFonts w:ascii="Arial" w:cs="Arial" w:eastAsia="Arial" w:hAnsi="Arial"/>
          <w:sz w:val="24"/>
          <w:szCs w:val="24"/>
        </w:rPr>
        <w:t xml:space="preserve">3) о проведении пострегистрационного исследования безопасности с целью изучения потенциального вопроса (проблемы) по безопасности лекарственного препарата;</w:t>
      </w:r>
    </w:p>
    <w:p>
      <w:pPr>
        <w:spacing w:after="120"/>
        <w:ind w:firstLine="708"/>
        <w:jc w:val="both"/>
      </w:pPr>
      <w:r>
        <w:rPr>
          <w:rFonts w:ascii="Arial" w:cs="Arial" w:eastAsia="Arial" w:hAnsi="Arial"/>
          <w:sz w:val="24"/>
          <w:szCs w:val="24"/>
        </w:rPr>
        <w:t xml:space="preserve">4) о необходимости внесения дополнительной информации по безопасности в общую характеристику и инструкцию по медицинскому применению (листок-вкладыш) лекарственного препарата.</w:t>
      </w:r>
    </w:p>
    <w:p>
      <w:pPr>
        <w:spacing w:after="120"/>
        <w:ind w:firstLine="708"/>
        <w:jc w:val="both"/>
      </w:pPr>
      <w:r>
        <w:rPr>
          <w:rFonts w:ascii="Arial" w:cs="Arial" w:eastAsia="Arial" w:hAnsi="Arial"/>
          <w:sz w:val="24"/>
          <w:szCs w:val="24"/>
        </w:rPr>
        <w:t xml:space="preserve">28. В случае необходимости проведения дополнительных действий держателем регистрационного удостоверения, предусмотренных пунктом 22 настоящего Порядка, уполномоченный орган направляет держателю регистрационного удостоверения уведомление в произвольной форме с указанием срока выполнения дополнительных действий.</w:t>
      </w:r>
    </w:p>
    <w:p>
      <w:pPr>
        <w:spacing w:after="120"/>
        <w:ind w:firstLine="708"/>
        <w:jc w:val="both"/>
      </w:pPr>
      <w:r>
        <w:rPr>
          <w:rFonts w:ascii="Arial" w:cs="Arial" w:eastAsia="Arial" w:hAnsi="Arial"/>
          <w:sz w:val="24"/>
          <w:szCs w:val="24"/>
        </w:rPr>
        <w:t xml:space="preserve">29. Держатели регистрационных удостоверений передают всю соответствующую информацию о сигналах в уполномоченный орган (что составляет часть обязательств по фармаконадзору и мониторингу соотношения «польза – риск» лекарственного препарата).</w:t>
      </w:r>
    </w:p>
    <w:p>
      <w:pPr>
        <w:spacing w:after="120"/>
        <w:ind w:firstLine="708"/>
        <w:jc w:val="both"/>
      </w:pPr>
      <w:r>
        <w:rPr>
          <w:rFonts w:ascii="Arial" w:cs="Arial" w:eastAsia="Arial" w:hAnsi="Arial"/>
          <w:sz w:val="24"/>
          <w:szCs w:val="24"/>
        </w:rPr>
        <w:t xml:space="preserve">Валидированные сигналы, которые могут оказывать влияние на общественное здоровье и соотношение «польза – риск» лекарственного препарата, должны быть незамедлительно переданы в уполномоченный орган, а также в соответствующих случаях представлены предложения по возможным действиям.</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предоставления периодически обновляемых отчетов по безопасности </w:t>
      </w:r>
    </w:p>
    <w:p>
      <w:pPr>
        <w:spacing w:after="240" w:before="200"/>
        <w:ind w:firstLine="567"/>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30. Периодически обновляемые отчеты по безопасности (далее – ПООБ) составляются держателем регистрационного удостоверения и содержит исчерпывающий и критический анализ соотношения               «польза – риск» лекарственного препарата с учетом всех новых данных о безопасности и кумулятивного влияния этих данных на профиль безопасности или эффективности лекарственного препарата. ПООБ является инструментом пострегистрационной оценки соотношения «польза – риск» лекарственного препарата на определенных этапах его жизненного цикла.</w:t>
      </w:r>
    </w:p>
    <w:p>
      <w:pPr>
        <w:spacing w:after="120"/>
        <w:ind w:firstLine="708"/>
        <w:jc w:val="both"/>
      </w:pPr>
      <w:r>
        <w:rPr>
          <w:rFonts w:ascii="Arial" w:cs="Arial" w:eastAsia="Arial" w:hAnsi="Arial"/>
          <w:sz w:val="24"/>
          <w:szCs w:val="24"/>
        </w:rPr>
        <w:t xml:space="preserve">31. ПООБ должен быть разработан в соответствии с требованиями к каждому разделу, установленными Правилами надлежащей практики фармаконадзора и соответствовать руководству Международной конференции по гармонизации (ICH) в формате E2C(R2).</w:t>
      </w:r>
    </w:p>
    <w:p>
      <w:pPr>
        <w:spacing w:after="120"/>
        <w:ind w:firstLine="708"/>
        <w:jc w:val="both"/>
      </w:pPr>
      <w:r>
        <w:rPr>
          <w:rFonts w:ascii="Arial" w:cs="Arial" w:eastAsia="Arial" w:hAnsi="Arial"/>
          <w:sz w:val="24"/>
          <w:szCs w:val="24"/>
        </w:rPr>
        <w:t xml:space="preserve">32. Держатели регистрационных удостоверений представляют ПООБ согласно установленному перечню уполномоченного органа, который публикуется на официальном сайте.</w:t>
      </w:r>
    </w:p>
    <w:p>
      <w:pPr>
        <w:spacing w:after="120"/>
        <w:ind w:firstLine="708"/>
        <w:jc w:val="both"/>
      </w:pPr>
      <w:r>
        <w:rPr>
          <w:rFonts w:ascii="Arial" w:cs="Arial" w:eastAsia="Arial" w:hAnsi="Arial"/>
          <w:sz w:val="24"/>
          <w:szCs w:val="24"/>
        </w:rPr>
        <w:t xml:space="preserve">33. Для лекарственных препаратов, международное непатентованное наименование или группировочное наименование которых не включено в указанный перечень, периодичность представления ПООБ составляет:</w:t>
      </w:r>
    </w:p>
    <w:p>
      <w:pPr>
        <w:spacing w:after="120"/>
        <w:ind w:firstLine="708"/>
        <w:jc w:val="both"/>
      </w:pPr>
      <w:r>
        <w:rPr>
          <w:rFonts w:ascii="Arial" w:cs="Arial" w:eastAsia="Arial" w:hAnsi="Arial"/>
          <w:sz w:val="24"/>
          <w:szCs w:val="24"/>
        </w:rPr>
        <w:t xml:space="preserve">1) каждые 6 месяцев с международной даты регистрации на протяжении первых 2 лет;</w:t>
      </w:r>
    </w:p>
    <w:p>
      <w:pPr>
        <w:spacing w:after="120"/>
        <w:ind w:firstLine="708"/>
        <w:jc w:val="both"/>
      </w:pPr>
      <w:r>
        <w:rPr>
          <w:rFonts w:ascii="Arial" w:cs="Arial" w:eastAsia="Arial" w:hAnsi="Arial"/>
          <w:sz w:val="24"/>
          <w:szCs w:val="24"/>
        </w:rPr>
        <w:t xml:space="preserve">2) ежегодно на протяжении последующих 2 лет;</w:t>
      </w:r>
    </w:p>
    <w:p>
      <w:pPr>
        <w:spacing w:after="120"/>
        <w:ind w:firstLine="708"/>
        <w:jc w:val="both"/>
      </w:pPr>
      <w:r>
        <w:rPr>
          <w:rFonts w:ascii="Arial" w:cs="Arial" w:eastAsia="Arial" w:hAnsi="Arial"/>
          <w:sz w:val="24"/>
          <w:szCs w:val="24"/>
        </w:rPr>
        <w:t xml:space="preserve">3) далее – каждые 3 года.</w:t>
      </w:r>
    </w:p>
    <w:p>
      <w:pPr>
        <w:spacing w:after="120"/>
        <w:ind w:firstLine="708"/>
        <w:jc w:val="both"/>
      </w:pPr>
      <w:r>
        <w:rPr>
          <w:rFonts w:ascii="Arial" w:cs="Arial" w:eastAsia="Arial" w:hAnsi="Arial"/>
          <w:sz w:val="24"/>
          <w:szCs w:val="24"/>
        </w:rPr>
        <w:t xml:space="preserve">Срок подачи ПООБ составляет не более 90 календарных дней с даты окончания сбора данных.</w:t>
      </w:r>
    </w:p>
    <w:p>
      <w:pPr>
        <w:spacing w:after="120"/>
        <w:ind w:firstLine="708"/>
        <w:jc w:val="both"/>
      </w:pPr>
      <w:r>
        <w:rPr>
          <w:rFonts w:ascii="Arial" w:cs="Arial" w:eastAsia="Arial" w:hAnsi="Arial"/>
          <w:sz w:val="24"/>
          <w:szCs w:val="24"/>
        </w:rPr>
        <w:t xml:space="preserve">34. Внеочередной ПООБ подлежит подаче в срок до                                     60 календарных дней с даты получения письменного запроса уполномоченного органа.</w:t>
      </w:r>
    </w:p>
    <w:p>
      <w:pPr>
        <w:spacing w:after="120"/>
        <w:ind w:firstLine="708"/>
        <w:jc w:val="both"/>
      </w:pPr>
      <w:r>
        <w:rPr>
          <w:rFonts w:ascii="Arial" w:cs="Arial" w:eastAsia="Arial" w:hAnsi="Arial"/>
          <w:sz w:val="24"/>
          <w:szCs w:val="24"/>
        </w:rPr>
        <w:t xml:space="preserve">35. При подтверждении государственной регистрации лекарственного препарата предоставляется ПООБ за период действия регистрационного удостоверения.</w:t>
      </w:r>
    </w:p>
    <w:p>
      <w:pPr>
        <w:spacing w:after="120"/>
        <w:ind w:firstLine="708"/>
        <w:jc w:val="both"/>
      </w:pPr>
      <w:r>
        <w:rPr>
          <w:rFonts w:ascii="Arial" w:cs="Arial" w:eastAsia="Arial" w:hAnsi="Arial"/>
          <w:sz w:val="24"/>
          <w:szCs w:val="24"/>
        </w:rPr>
        <w:t xml:space="preserve">36. ПООБ предоставляется в уполномоченный орган с возможностью текстового поиска на русском языке или английском языке с переводом на русский язык следующих разделов: краткое изложение основного содержания, интегрированный анализ соотношения «польза – риск» по одобренным показаниям и заключение. </w:t>
      </w:r>
    </w:p>
    <w:p>
      <w:pPr>
        <w:spacing w:after="120"/>
        <w:ind w:firstLine="708"/>
        <w:jc w:val="both"/>
      </w:pPr>
      <w:r>
        <w:rPr>
          <w:rFonts w:ascii="Arial" w:cs="Arial" w:eastAsia="Arial" w:hAnsi="Arial"/>
          <w:sz w:val="24"/>
          <w:szCs w:val="24"/>
        </w:rPr>
        <w:t xml:space="preserve">По запросу уполномоченного органа держатель регистрационного удостоверения в течение 30 календарных дней предоставляет перевод на русский язык других разделов ПООБ.</w:t>
      </w:r>
    </w:p>
    <w:p>
      <w:pPr>
        <w:spacing w:after="120"/>
        <w:ind w:firstLine="708"/>
        <w:jc w:val="both"/>
      </w:pPr>
      <w:r>
        <w:rPr>
          <w:rFonts w:ascii="Arial" w:cs="Arial" w:eastAsia="Arial" w:hAnsi="Arial"/>
          <w:sz w:val="24"/>
          <w:szCs w:val="24"/>
        </w:rPr>
        <w:t xml:space="preserve">37. При выявлении нежелательных реакций и (или) иной информации по безопасности и эффективности, не содержащейся в общей характеристике и инструкции по медицинскому применению (листок-вкладыш) и изменяющих соотношение «польза – риск» лекарственного препарата, уполномоченный орган запрашивает у держателя регистрационного удостоверения внеочередной ПООБ. </w:t>
      </w:r>
    </w:p>
    <w:p>
      <w:pPr>
        <w:spacing w:after="120"/>
        <w:ind w:firstLine="708"/>
        <w:jc w:val="both"/>
      </w:pPr>
      <w:r>
        <w:rPr>
          <w:rFonts w:ascii="Arial" w:cs="Arial" w:eastAsia="Arial" w:hAnsi="Arial"/>
          <w:sz w:val="24"/>
          <w:szCs w:val="24"/>
        </w:rPr>
        <w:t xml:space="preserve">38. ПООБ предоставляется на зарегистрированные лекарственные препараты, находящиеся в обращении на территории Кыргызской Республики.</w:t>
      </w:r>
    </w:p>
    <w:p>
      <w:pPr>
        <w:spacing w:after="120"/>
        <w:ind w:firstLine="708"/>
        <w:jc w:val="both"/>
      </w:pPr>
      <w:r>
        <w:rPr>
          <w:rFonts w:ascii="Arial" w:cs="Arial" w:eastAsia="Arial" w:hAnsi="Arial"/>
          <w:sz w:val="24"/>
          <w:szCs w:val="24"/>
        </w:rPr>
        <w:t xml:space="preserve">39. Уполномоченным органом осуществляется оценка ПООБ с целью определения соответствия отчета требованиям Правил надлежащей практики фармаконадзора и законодательства Кыргызской Республики, а также выявления возможных изменений профиля безопасности лекарственного </w:t>
      </w:r>
      <w:r>
        <w:rPr>
          <w:rFonts w:ascii="Arial" w:cs="Arial" w:eastAsia="Arial" w:hAnsi="Arial"/>
          <w:b/>
          <w:bCs/>
          <w:sz w:val="24"/>
          <w:szCs w:val="24"/>
        </w:rPr>
        <w:t xml:space="preserve">препарат</w:t>
      </w:r>
      <w:r>
        <w:rPr>
          <w:rFonts w:ascii="Arial" w:cs="Arial" w:eastAsia="Arial" w:hAnsi="Arial"/>
          <w:sz w:val="24"/>
          <w:szCs w:val="24"/>
        </w:rPr>
        <w:t xml:space="preserve">а и влияния этих изменений на оценку соотношения «польза – риск» лекарственного </w:t>
      </w:r>
      <w:r>
        <w:rPr>
          <w:rFonts w:ascii="Arial" w:cs="Arial" w:eastAsia="Arial" w:hAnsi="Arial"/>
          <w:b/>
          <w:bCs/>
          <w:sz w:val="24"/>
          <w:szCs w:val="24"/>
        </w:rPr>
        <w:t xml:space="preserve">препарат</w:t>
      </w:r>
      <w:r>
        <w:rPr>
          <w:rFonts w:ascii="Arial" w:cs="Arial" w:eastAsia="Arial" w:hAnsi="Arial"/>
          <w:sz w:val="24"/>
          <w:szCs w:val="24"/>
        </w:rPr>
        <w:t xml:space="preserve">а.</w:t>
      </w:r>
    </w:p>
    <w:p>
      <w:pPr>
        <w:spacing w:after="120"/>
        <w:ind w:firstLine="708"/>
        <w:jc w:val="both"/>
      </w:pPr>
      <w:r>
        <w:rPr>
          <w:rFonts w:ascii="Arial" w:cs="Arial" w:eastAsia="Arial" w:hAnsi="Arial"/>
          <w:sz w:val="24"/>
          <w:szCs w:val="24"/>
        </w:rPr>
        <w:t xml:space="preserve">40. При проверке и оценке ПООБ, а также выявлении несоответствия в информации уполномоченный орган направляет держателю регистрационного удостоверения в срок, не превышающий 10 рабочих дней со дня получения ПООБ, уведомление о внесении в него изменений.</w:t>
      </w:r>
    </w:p>
    <w:p>
      <w:pPr>
        <w:spacing w:after="120"/>
        <w:ind w:firstLine="708"/>
        <w:jc w:val="both"/>
      </w:pPr>
      <w:r>
        <w:rPr>
          <w:rFonts w:ascii="Arial" w:cs="Arial" w:eastAsia="Arial" w:hAnsi="Arial"/>
          <w:sz w:val="24"/>
          <w:szCs w:val="24"/>
        </w:rPr>
        <w:t xml:space="preserve">41. Уполномоченный орган направляет держателю регистрационного удостоверения в срок не позднее 3 рабочих дней со дня проведения оценки периодического отчета и выявления в нем несоответствия данных уведомление об инициировании процедуры внесения изменений в регистрационное досье лекарственного препарата.</w:t>
      </w:r>
    </w:p>
    <w:p>
      <w:pPr>
        <w:spacing w:after="120"/>
        <w:ind w:firstLine="708"/>
        <w:jc w:val="both"/>
      </w:pPr>
      <w:r>
        <w:rPr>
          <w:rFonts w:ascii="Arial" w:cs="Arial" w:eastAsia="Arial" w:hAnsi="Arial"/>
          <w:sz w:val="24"/>
          <w:szCs w:val="24"/>
        </w:rPr>
        <w:t xml:space="preserve">42. По итогам проведенной уполномоченным органом проверки данных, указанных в настоящем Порядке, и подтверждении оценки о превышении соотношения «польза – риск» при применении лекарственного препарата уполномоченный орган в срок не позднее                5 рабочих дней со дня проведения соответствующей оценки направляет держателю регистрационного удостоверения уведомление о принятии мер по обеспечению безопасности применения лекарственного препарата, в частности: </w:t>
      </w:r>
    </w:p>
    <w:p>
      <w:pPr>
        <w:spacing w:after="120"/>
        <w:ind w:firstLine="708"/>
        <w:jc w:val="both"/>
      </w:pPr>
      <w:r>
        <w:rPr>
          <w:rFonts w:ascii="Arial" w:cs="Arial" w:eastAsia="Arial" w:hAnsi="Arial"/>
          <w:sz w:val="24"/>
          <w:szCs w:val="24"/>
        </w:rPr>
        <w:t xml:space="preserve">– о внесении изменений в инструкцию по медицинскому применению и (или) листок-вкладыш;</w:t>
      </w:r>
    </w:p>
    <w:p>
      <w:pPr>
        <w:spacing w:after="120"/>
        <w:ind w:firstLine="708"/>
        <w:jc w:val="both"/>
      </w:pPr>
      <w:r>
        <w:rPr>
          <w:rFonts w:ascii="Arial" w:cs="Arial" w:eastAsia="Arial" w:hAnsi="Arial"/>
          <w:sz w:val="24"/>
          <w:szCs w:val="24"/>
        </w:rPr>
        <w:t xml:space="preserve">– о введении (корректировки) плана управления рисками в соответствии с требованиями Правил надлежащей практики фармаконадзора.</w:t>
      </w:r>
    </w:p>
    <w:p>
      <w:pPr>
        <w:spacing w:after="120"/>
        <w:ind w:firstLine="708"/>
        <w:jc w:val="both"/>
      </w:pPr>
      <w:r>
        <w:rPr>
          <w:rFonts w:ascii="Arial" w:cs="Arial" w:eastAsia="Arial" w:hAnsi="Arial"/>
          <w:sz w:val="24"/>
          <w:szCs w:val="24"/>
        </w:rPr>
        <w:t xml:space="preserve">43. Уполномоченный орган направляет держателю регистрационного удостоверения в срок до 5 рабочих дней со дня выявления сигнала – получения новой информации по изменению профиля безопасности или эффективности, а также при подозрении на ненадлежащее качество лекарственного препарата – уведомление о проведении мероприятий:</w:t>
      </w:r>
    </w:p>
    <w:p>
      <w:pPr>
        <w:spacing w:after="120"/>
        <w:ind w:firstLine="708"/>
        <w:jc w:val="both"/>
      </w:pPr>
      <w:r>
        <w:rPr>
          <w:rFonts w:ascii="Arial" w:cs="Arial" w:eastAsia="Arial" w:hAnsi="Arial"/>
          <w:sz w:val="24"/>
          <w:szCs w:val="24"/>
        </w:rPr>
        <w:t xml:space="preserve">– по установлению дополнительных мер для подтверждения профиля безопасности и (или) эффективности лекарственного препарата;</w:t>
      </w:r>
    </w:p>
    <w:p>
      <w:pPr>
        <w:spacing w:after="120"/>
        <w:ind w:firstLine="708"/>
        <w:jc w:val="both"/>
      </w:pPr>
      <w:r>
        <w:rPr>
          <w:rFonts w:ascii="Arial" w:cs="Arial" w:eastAsia="Arial" w:hAnsi="Arial"/>
          <w:sz w:val="24"/>
          <w:szCs w:val="24"/>
        </w:rPr>
        <w:t xml:space="preserve">– по контролю за качеством лекарственного препарата;</w:t>
      </w:r>
    </w:p>
    <w:p>
      <w:pPr>
        <w:spacing w:after="120"/>
        <w:ind w:firstLine="708"/>
        <w:jc w:val="both"/>
      </w:pPr>
      <w:r>
        <w:rPr>
          <w:rFonts w:ascii="Arial" w:cs="Arial" w:eastAsia="Arial" w:hAnsi="Arial"/>
          <w:sz w:val="24"/>
          <w:szCs w:val="24"/>
        </w:rPr>
        <w:t xml:space="preserve">– по исследованию сравнительной кинетики растворения лекарственных препаратов;</w:t>
      </w:r>
    </w:p>
    <w:p>
      <w:pPr>
        <w:spacing w:after="120"/>
        <w:ind w:firstLine="708"/>
        <w:jc w:val="both"/>
      </w:pPr>
      <w:r>
        <w:rPr>
          <w:rFonts w:ascii="Arial" w:cs="Arial" w:eastAsia="Arial" w:hAnsi="Arial"/>
          <w:sz w:val="24"/>
          <w:szCs w:val="24"/>
        </w:rPr>
        <w:t xml:space="preserve">– по организации фармакокинетических, фармакодинамических, эпидемиологических исследований.</w:t>
      </w:r>
    </w:p>
    <w:p>
      <w:pPr>
        <w:spacing w:after="120"/>
        <w:ind w:firstLine="708"/>
        <w:jc w:val="both"/>
      </w:pPr>
      <w:r>
        <w:rPr>
          <w:rFonts w:ascii="Arial" w:cs="Arial" w:eastAsia="Arial" w:hAnsi="Arial"/>
          <w:sz w:val="24"/>
          <w:szCs w:val="24"/>
        </w:rPr>
        <w:t xml:space="preserve">44. Уполномоченный орган на основании доказанного в соответствии с заключением экспертизы неблагоприятного соотношения «польза – риск» или выявления документально подтвержденной недостаточной терапевтической эффективности лекарственного средства при соблюдении условий его применения, описанных в инструкции по медицинскому применению, принимает решение о приостановлении действия регистрационного удостоверения на срок до 6 месяцев. Применение и реализация лекарственного средства на период приостановления регистрационного удостоверения не допускаются.</w:t>
      </w:r>
    </w:p>
    <w:p>
      <w:pPr>
        <w:spacing w:after="120"/>
        <w:ind w:firstLine="708"/>
        <w:jc w:val="both"/>
      </w:pPr>
      <w:r>
        <w:rPr>
          <w:rFonts w:ascii="Arial" w:cs="Arial" w:eastAsia="Arial" w:hAnsi="Arial"/>
          <w:sz w:val="24"/>
          <w:szCs w:val="24"/>
        </w:rPr>
        <w:t xml:space="preserve">45. Решение о возобновлении действия регистрационного удостоверения принимается уполномоченным органом в течение 5 рабочих дней со дня получения от держателя регистрационного удостоверения уведомления утвержденной уполномоченным государственным органом в сфере здравоохранения о выполненных мероприятиях по устранению причин, послуживших основанием для приостановления действия регистрационного удостоверения.</w:t>
      </w:r>
    </w:p>
    <w:p>
      <w:pPr>
        <w:spacing w:after="120"/>
        <w:ind w:firstLine="708"/>
        <w:jc w:val="both"/>
      </w:pPr>
      <w:r>
        <w:rPr>
          <w:rFonts w:ascii="Arial" w:cs="Arial" w:eastAsia="Arial" w:hAnsi="Arial"/>
          <w:sz w:val="24"/>
          <w:szCs w:val="24"/>
        </w:rPr>
        <w:t xml:space="preserve">46. При получении и подтверждении уполномоченным органом новых системных данных – данных, свидетельствующих об изменении профиля безопасности лекарственного средства как неблагоприятного и превосходстве рисков, связанных с применением лекарственного препарата над получаемой пользой, уполномоченный орган принимает решение об аннулировании (отзыве) регистрационного удостоверения и изъятии из обращения лекарственного средства.</w:t>
      </w:r>
    </w:p>
    <w:p>
      <w:pPr>
        <w:spacing w:after="120"/>
        <w:ind w:firstLine="708"/>
        <w:jc w:val="both"/>
      </w:pPr>
      <w:r>
        <w:rPr>
          <w:rFonts w:ascii="Arial" w:cs="Arial" w:eastAsia="Arial" w:hAnsi="Arial"/>
          <w:sz w:val="24"/>
          <w:szCs w:val="24"/>
        </w:rPr>
        <w:t xml:space="preserve">47. Уполномоченный орган направляет держателю регистрационного удостоверения письменное уведомление с приложением принятого решения о приостановлении действия регистрационного удостоверения или аннулировании (отзыве) регистрационного удостоверения в течение 5 рабочих дней со дня принятия уполномоченным органом решения о приостановлении действия регистрационного удостоверения или аннулировании (отзыве) регистрационного удостоверения.</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Порядок предоставления плана управления рисками</w:t>
      </w:r>
    </w:p>
    <w:p>
      <w:pPr>
        <w:spacing w:after="240" w:before="200"/>
        <w:ind w:firstLine="567"/>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48. План управления рисками (далее – ПУР) разрабатывается держателем регистрационного удостоверения и содержит подробное описание мероприятий по фармаконадзору, направленных на выявление, оценку и предотвращение, а также минимизацию рисков, связанных с применением лекарственного препарата, и оценку эффективности данных мероприятий.</w:t>
      </w:r>
    </w:p>
    <w:p>
      <w:pPr>
        <w:spacing w:after="120"/>
        <w:ind w:firstLine="708"/>
        <w:jc w:val="both"/>
      </w:pPr>
      <w:r>
        <w:rPr>
          <w:rFonts w:ascii="Arial" w:cs="Arial" w:eastAsia="Arial" w:hAnsi="Arial"/>
          <w:sz w:val="24"/>
          <w:szCs w:val="24"/>
        </w:rPr>
        <w:t xml:space="preserve">49. ПУР должен быть разработан и предоставлен держателем регистрационных удостоверений в соответствии с требованиями к каждому разделу, установленными Правилами надлежащей практики фармаконадзора.</w:t>
      </w:r>
    </w:p>
    <w:p>
      <w:pPr>
        <w:spacing w:after="120"/>
        <w:ind w:firstLine="708"/>
        <w:jc w:val="both"/>
      </w:pPr>
      <w:r>
        <w:rPr>
          <w:rFonts w:ascii="Arial" w:cs="Arial" w:eastAsia="Arial" w:hAnsi="Arial"/>
          <w:sz w:val="24"/>
          <w:szCs w:val="24"/>
        </w:rPr>
        <w:t xml:space="preserve">ПУР предоставляется в уполномоченный орган на русском языке.</w:t>
      </w:r>
    </w:p>
    <w:p>
      <w:pPr>
        <w:spacing w:after="120"/>
        <w:ind w:firstLine="708"/>
        <w:jc w:val="both"/>
      </w:pPr>
      <w:r>
        <w:rPr>
          <w:rFonts w:ascii="Arial" w:cs="Arial" w:eastAsia="Arial" w:hAnsi="Arial"/>
          <w:sz w:val="24"/>
          <w:szCs w:val="24"/>
        </w:rPr>
        <w:t xml:space="preserve">В необходимых случаях представление ПУР или его обновление может потребоваться в любое время в течение жизненного цикла лекарственного препарата.</w:t>
      </w:r>
    </w:p>
    <w:p>
      <w:pPr>
        <w:spacing w:after="120"/>
        <w:ind w:firstLine="708"/>
        <w:jc w:val="both"/>
      </w:pPr>
      <w:r>
        <w:rPr>
          <w:rFonts w:ascii="Arial" w:cs="Arial" w:eastAsia="Arial" w:hAnsi="Arial"/>
          <w:sz w:val="24"/>
          <w:szCs w:val="24"/>
        </w:rPr>
        <w:t xml:space="preserve">50. Анализ и оценка ПУР проводится в соответствии с требованиями, установленными Правилами надлежащей практики фармаконадзора.</w:t>
      </w:r>
    </w:p>
    <w:p>
      <w:pPr>
        <w:spacing w:after="120"/>
        <w:ind w:firstLine="708"/>
        <w:jc w:val="both"/>
      </w:pPr>
      <w:r>
        <w:rPr>
          <w:rFonts w:ascii="Arial" w:cs="Arial" w:eastAsia="Arial" w:hAnsi="Arial"/>
          <w:sz w:val="24"/>
          <w:szCs w:val="24"/>
        </w:rPr>
        <w:t xml:space="preserve">51. В период проведения анализа и оценки ПУР уполномоченный орган запрашивает у держателя регистрационного удостоверения разъяснения или уточнения по конкретным положениям ПУР и рекомендует внести изменения в предлагаемый ПУР.</w:t>
      </w:r>
    </w:p>
    <w:p>
      <w:pPr>
        <w:spacing w:after="120"/>
        <w:ind w:firstLine="708"/>
        <w:jc w:val="both"/>
      </w:pPr>
      <w:r>
        <w:rPr>
          <w:rFonts w:ascii="Arial" w:cs="Arial" w:eastAsia="Arial" w:hAnsi="Arial"/>
          <w:sz w:val="24"/>
          <w:szCs w:val="24"/>
        </w:rPr>
        <w:t xml:space="preserve">52. Держатель регистрационного удостоверения в срок не более 60 календарных дней предоставляет разъяснения или уточнения на запрос уполномоченного органа и (или) предоставляет доработанную версию ПУР. Уполномоченный орган направляет уведомление о необходимости внесения изменений в ПУР держателю регистрационного удостоверения, которое должно быть исполнено (представляет в уполномоченный орган ПУР с внесенными изменениями) в течение 20 календарных дней после получения.</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Пострегистрационные исследования безопасности</w:t>
      </w:r>
    </w:p>
    <w:p>
      <w:pPr>
        <w:spacing w:after="240" w:before="200"/>
        <w:ind w:firstLine="567"/>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53. Пострегистрационные исследования безопасности (далее – ПРИБ) включают исследования, в процессе которых собираются дополнительные научные данные о безопасности лекарственного препарата, имеющие потенциальную клиническую значимость или важность для здоровья населения.</w:t>
      </w:r>
    </w:p>
    <w:p>
      <w:pPr>
        <w:spacing w:after="120"/>
        <w:ind w:firstLine="708"/>
        <w:jc w:val="both"/>
      </w:pPr>
      <w:r>
        <w:rPr>
          <w:rFonts w:ascii="Arial" w:cs="Arial" w:eastAsia="Arial" w:hAnsi="Arial"/>
          <w:sz w:val="24"/>
          <w:szCs w:val="24"/>
        </w:rPr>
        <w:t xml:space="preserve">54. ПРИБ осуществляется держателем регистрационного удостоверения на территории Кыргызской Республики в соответствии с Правилами надлежащей практики фармаконадзора.</w:t>
      </w:r>
    </w:p>
    <w:p>
      <w:pPr>
        <w:spacing w:after="120"/>
        <w:ind w:firstLine="708"/>
        <w:jc w:val="both"/>
      </w:pPr>
      <w:r>
        <w:rPr>
          <w:rFonts w:ascii="Arial" w:cs="Arial" w:eastAsia="Arial" w:hAnsi="Arial"/>
          <w:sz w:val="24"/>
          <w:szCs w:val="24"/>
        </w:rPr>
        <w:t xml:space="preserve">55. ПРИБ осуществляется держателем регистрационного удостоверения на территории Кыргызской Республики добровольно или по запросу уполномоченного органа в случае предположения о наличии рисков, связанных с зарегистрированным лекарственным препаратом, требующих дополнительного изучения путем проведения исследования.</w:t>
      </w:r>
    </w:p>
    <w:p>
      <w:pPr>
        <w:spacing w:after="120"/>
        <w:ind w:firstLine="708"/>
        <w:jc w:val="both"/>
      </w:pPr>
      <w:r>
        <w:rPr>
          <w:rFonts w:ascii="Arial" w:cs="Arial" w:eastAsia="Arial" w:hAnsi="Arial"/>
          <w:sz w:val="24"/>
          <w:szCs w:val="24"/>
        </w:rPr>
        <w:t xml:space="preserve">56. Протокол ПРИБ разрабатывается держателем регистрационного удостоверения в соответствии с требованиями, утвержденными Правилами надлежащей практики фармаконадзора, и согласовывается с уполномоченным органом.</w:t>
      </w:r>
    </w:p>
    <w:p>
      <w:pPr>
        <w:spacing w:after="120"/>
        <w:ind w:firstLine="708"/>
        <w:jc w:val="both"/>
      </w:pPr>
      <w:r>
        <w:rPr>
          <w:rFonts w:ascii="Arial" w:cs="Arial" w:eastAsia="Arial" w:hAnsi="Arial"/>
          <w:sz w:val="24"/>
          <w:szCs w:val="24"/>
        </w:rPr>
        <w:t xml:space="preserve">57. Держатель регистрационного удостоверения подает итоговый отчет ПРИБ в уполномоченный орган не позднее 12 месяцев с даты окончания сбора данных.</w:t>
      </w:r>
    </w:p>
    <w:p>
      <w:pPr>
        <w:spacing w:after="120"/>
        <w:ind w:firstLine="708"/>
        <w:jc w:val="both"/>
      </w:pPr>
      <w:r>
        <w:rPr>
          <w:rFonts w:ascii="Arial" w:cs="Arial" w:eastAsia="Arial" w:hAnsi="Arial"/>
          <w:sz w:val="24"/>
          <w:szCs w:val="24"/>
        </w:rPr>
        <w:t xml:space="preserve">58. Информация по серьезным непредвиденным нежелательным реакциям должна представляться в срочном порядке в уполномоченный орган в соответствии с требованиями Правил надлежащей клинической практики и настоящим Порядком. </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Оценка системы фармаконадзора</w:t>
      </w:r>
    </w:p>
    <w:p>
      <w:pPr>
        <w:spacing w:after="240" w:before="200"/>
        <w:ind w:firstLine="567"/>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59. В целях подтверждения выполнения держателями регистрационных удостоверений обязательств по фармаконадзору уполномоченный орган проводит оценку системы фармаконадзора держателей регистрационных удостоверений или иных организаций, привлеченных держателями регистрационных удостоверений для выполнения обязательств по фармаконадзору.</w:t>
      </w:r>
    </w:p>
    <w:p>
      <w:pPr>
        <w:spacing w:after="120"/>
        <w:ind w:firstLine="708"/>
        <w:jc w:val="both"/>
      </w:pPr>
      <w:r>
        <w:rPr>
          <w:rFonts w:ascii="Arial" w:cs="Arial" w:eastAsia="Arial" w:hAnsi="Arial"/>
          <w:sz w:val="24"/>
          <w:szCs w:val="24"/>
        </w:rPr>
        <w:t xml:space="preserve">60.Оценка системы фармаконадзора проводится в отношении целой системы фармаконадзора и по отдельному лекарственному препарату и осуществляется согласно Правил надлежащей практики фармаконадзора.</w:t>
      </w:r>
    </w:p>
    <w:p>
      <w:pPr>
        <w:spacing w:after="120"/>
        <w:ind w:firstLine="708"/>
        <w:jc w:val="both"/>
      </w:pPr>
      <w:r>
        <w:rPr>
          <w:rFonts w:ascii="Arial" w:cs="Arial" w:eastAsia="Arial" w:hAnsi="Arial"/>
          <w:sz w:val="24"/>
          <w:szCs w:val="24"/>
        </w:rPr>
        <w:t xml:space="preserve">61. Оценка системы фармаконадзора может быть плановой и внеплановой. Плановые оценки системы фармаконадзора проводятся в соответствии с предварительно составленной программой. Внеплановые оценки системы фармаконадзора проводятся в случае выявления инициирующего фактора (системной проблемы), при этом оценка рассматривается как наиболее оптимальный способ изучения и оценки выявленной проблемы.</w:t>
      </w:r>
    </w:p>
    <w:p>
      <w:pPr>
        <w:spacing w:after="120"/>
        <w:ind w:firstLine="708"/>
        <w:jc w:val="both"/>
      </w:pPr>
      <w:r>
        <w:rPr>
          <w:rFonts w:ascii="Arial" w:cs="Arial" w:eastAsia="Arial" w:hAnsi="Arial"/>
          <w:sz w:val="24"/>
          <w:szCs w:val="24"/>
        </w:rPr>
        <w:t xml:space="preserve">62. В случае объявленной оценки системы фармаконадзора уполномоченный орган направляет держателю регистрационного удостоверения уведомление (в произвольной форме) о предстоящей оценке системы фармаконадзора не менее чем за 30 календарных дней до предполагаемой даты проведения плановой инспекции. </w:t>
      </w:r>
    </w:p>
    <w:p>
      <w:pPr>
        <w:spacing w:after="120"/>
        <w:ind w:firstLine="708"/>
        <w:jc w:val="both"/>
      </w:pPr>
      <w:r>
        <w:rPr>
          <w:rFonts w:ascii="Arial" w:cs="Arial" w:eastAsia="Arial" w:hAnsi="Arial"/>
          <w:sz w:val="24"/>
          <w:szCs w:val="24"/>
        </w:rPr>
        <w:t xml:space="preserve">63. Правилами надлежащей практики фармаконадзора предусмотрено проведение уполномоченным органом внезапных оценок систем фармаконадзора.</w:t>
      </w:r>
    </w:p>
    <w:p>
      <w:pPr>
        <w:spacing w:after="120"/>
        <w:ind w:firstLine="708"/>
        <w:jc w:val="both"/>
      </w:pPr>
      <w:r>
        <w:rPr>
          <w:rFonts w:ascii="Arial" w:cs="Arial" w:eastAsia="Arial" w:hAnsi="Arial"/>
          <w:sz w:val="24"/>
          <w:szCs w:val="24"/>
        </w:rPr>
        <w:t xml:space="preserve">Расходы, связанные с организацией и проведением оценки системы фармаконадзора, несет держатель регистрационного удостоверения и иная организация, привлеченная держателями регистрационных удостоверений для выполнения обязательств по фармаконадзору.</w:t>
      </w:r>
    </w:p>
    <w:p>
      <w:pPr>
        <w:spacing w:after="120"/>
        <w:ind w:firstLine="708"/>
        <w:jc w:val="both"/>
      </w:pPr>
      <w:r>
        <w:rPr>
          <w:rFonts w:ascii="Arial" w:cs="Arial" w:eastAsia="Arial" w:hAnsi="Arial"/>
          <w:sz w:val="24"/>
          <w:szCs w:val="24"/>
        </w:rPr>
        <w:t xml:space="preserve">64. Держатель регистрационного удостоверения обязан своевременно устранить выявленное несоответствие, разработав и внедрив план корректирующих и предупредительных мероприятий.</w:t>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kvwmdtfxcwdxy9dztfq8">
      <w:r>
        <w:rPr>
          <w:rFonts w:ascii="Arial" w:cs="Arial" w:eastAsia="Arial" w:hAnsi="Arial"/>
          <w:color w:val="132D3F"/>
          <w:sz w:val="16"/>
          <w:szCs w:val="16"/>
          <w:u w:val="single"/>
        </w:rPr>
        <w:t xml:space="preserve">dalil.kg/document/230013189</w:t>
      </w:r>
    </w:hyperlink>
  </w:p>
  <w:p>
    <w:pPr>
      <w:spacing w:after="0" w:before="40"/>
      <w:jc w:val="center"/>
    </w:pPr>
    <w:hyperlink w:history="1" r:id="rIddkgovqfocgue1vo7vzrm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kgly3u7nnqe3exvu8q5y" Type="http://schemas.openxmlformats.org/officeDocument/2006/relationships/hyperlink" Target="https://dalil.kg/document/2300131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kvwmdtfxcwdxy9dztfq8" Type="http://schemas.openxmlformats.org/officeDocument/2006/relationships/hyperlink" Target="https://dalil.kg/document/230013189" TargetMode="External"/><Relationship Id="rIddkgovqfocgue1vo7vzrm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2026-09-24T14:02:52.539Z</dcterms:created>
  <dcterms:modified xsi:type="dcterms:W3CDTF">2026-09-24T14:02:52.539Z</dcterms:modified>
</cp:coreProperties>
</file>

<file path=docProps/custom.xml><?xml version="1.0" encoding="utf-8"?>
<Properties xmlns="http://schemas.openxmlformats.org/officeDocument/2006/custom-properties" xmlns:vt="http://schemas.openxmlformats.org/officeDocument/2006/docPropsVTypes"/>
</file>