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Порядка пользования и распоряжения государственным лесным фондом» от 10 апреля 2018 года № 192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ведения лесного хозяйства и лесных пользований, оптимизации правил пользования и распоряжения государственным лесным фондом и создания условий для развития возобновляемых источников энергии, а также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Лесной кодекс Кыргызской Республики», в соответствии с </w:t>
      </w:r>
      <w:hyperlink w:history="1" r:id="rIdf1uuce5dphdzse4eih4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чрезвычайной ситуации в энергетической отрасли Кыргызской Республики» от 24 июля 2023 года № 178, статьями </w:t>
      </w:r>
      <w:hyperlink w:history="1" r:id="rIdgvar8pfmvu-9loslii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lwt9jslv2roheddjc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iemp1ckg3ezhpqtuiv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gapxxqyf8kmfz3fvw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фондом» от 10 апреля 2018 года № 192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78edwtxuwl_1_lkpu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фондом, утвержденном вышеуказанным </w:t>
      </w:r>
      <w:hyperlink w:history="1" r:id="rIdlwjt7wbrcd4ltwd4htu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пользование лесом в научно-исследовательских, образовательных,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и нужд охотничьего хозяйства;»;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после аббревиатуры «ВИЭ» дополнить словами «, объектов туристской индустрии и инфраструктуры автомобильного транспорта»;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</w:t>
      </w:r>
      <w:r>
        <w:rPr>
          <w:rFonts w:ascii="Arial" w:cs="Arial" w:eastAsia="Arial" w:hAnsi="Arial"/>
          <w:sz w:val="24"/>
          <w:szCs w:val="24"/>
        </w:rPr>
        <w:t xml:space="preserve">пункта 10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Передача земель государственного лесного фонда, находящихся в ведении уполномоченного учреждения в сфере ВИЭ, осуществляется на основании конкурсного отбора, проводимого уполномоченным учреждением в сфере ВИЭ, для строительства энергетических установок с использованием ВИЭ.»;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параграф 7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§ 7. Лесное пользование в культурно-оздоровительных,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рекреационных, туристических целях, а также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строительства объектов туристской индустрии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инфраструктуры автомобильного транспорта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Предоставление права пользования землями государственного лесного фонда в научно-исследовательских, образовательных,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осуществляется на конкурсной основе и на основании договора между территориальным государственным органом управления лесным хозяйством и лесопользователем.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землями государственного лесного фонда в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не допускается на землях государственного лесного фонда, имеющих следующий статус: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леса, имеющие научное значение, включая генетические резерваты и памятники природы;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леса первого и второго поясов зон санитарной охраны источников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запретные полосы лесов по берегам рек, озер, водохранилищ и других водных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Лесопользователь, получивший право пользования землями государственного лесного фонда в рекреационных и туристических целях, а также для строительства объектов туристской индустрии и инфраструктуры автомобильного транспорта обязан в течение одного года со дня подписания Договора представить территориальному государственному органу управления лесным хозяйством Проект организации лесопользования.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Выбор места и площадь под строительство объектов туристской индустрии </w:t>
      </w:r>
      <w:r>
        <w:rPr>
          <w:rFonts w:ascii="Arial" w:cs="Arial" w:eastAsia="Arial" w:hAnsi="Arial"/>
          <w:sz w:val="24"/>
          <w:szCs w:val="24"/>
        </w:rPr>
        <w:t xml:space="preserve">и инфраструктуры автомобильного транспорта</w:t>
      </w:r>
      <w:r>
        <w:rPr>
          <w:rFonts w:ascii="Arial" w:cs="Arial" w:eastAsia="Arial" w:hAnsi="Arial"/>
          <w:sz w:val="24"/>
          <w:szCs w:val="24"/>
        </w:rPr>
        <w:t xml:space="preserve"> производится лесоустроительной организацией с учетом экологической нагрузки.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туристской индустрии и инфраструктуры автомобильного транспорта производится на основании положительных заключений государственной экологической экспертизы, оформленных в установленном порядке, с соблюдением архитектурно-планировочных, строительных, экологических, санитарно-гигиенических, противопожарных и иных требований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Плата за лесное пользование в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на лесных землях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 = Одр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Уст,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 – плата за лесное пользование в культурно-оздоровительных, рекреационных и туристических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Одр – валовой капитализированный доход от древесных ресурсов, устанавливается в зависимости от продуктивности древесного насаждения арендованного участка с учетом лесорастительных условий и определяется согласно </w:t>
      </w:r>
      <w:hyperlink w:history="1" r:id="rIdugda95ji3uknetuxtc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земель, утвержденному </w:t>
      </w:r>
      <w:hyperlink w:history="1" r:id="rId_dciu_mnn-jof8z9ruf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производства» от 13 августа 2013 года № 458;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 – учетная ставка Национального банка Кыргызской Республики на момент предоставления земель в аренду. Данные публикуются на официальном сайте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Плата за лесное пользование в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на нелесных землях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 = Онлз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Уст,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 – плата за лесное пользование в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Онлз – оценка нелесных земель, определяется согласно </w:t>
      </w:r>
      <w:hyperlink w:history="1" r:id="rIdounhp6cri6wcaa9c1wy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земель, утвержденному </w:t>
      </w:r>
      <w:hyperlink w:history="1" r:id="rIductqonlh0fvgq_cbtp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производства» от 13 августа 2013 года № 458;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 – учетная ставка Национального банка Кыргызской Республики на момент предоставления земель в аренду. Данные публикуются на официальном сайте Национального банка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Предоставление права пользования землями государственного лесного фонда в целях строительства энергетических установок с использованием ВИЭ осуществляется организатором на основании конкурсного отбора уполномоченным учреждением в сфере ВИЭ. Договор о пользовании землями государственного лесного фонда в целях строительства энергетических установок с использованием ВИЭ заключается с лицом, признанным победителем на основании конкурсного отбора уполномоченным учреждением в сфере ВИЭ, при уплате победителем суммы в размере 5000 (пять тысяч) расчетных показателей в счет предстоящих убытков и потерь лесохозяйственного производства.»;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74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Строительство энергетических установок с использованием ВИЭ на землях государственного лесного фонда производится на основании положительных заключений государственной экологической экспертизы, государственного органа по охране объектов историко-культурного наследия, оформленных в установленном порядке, с соблюдением архитектурно-планировочных, строительных, экологических, санитарно-гигиенических, противопожарных и иных требований законодательства Кыргызской Республики, а также при наличии лесоустроительного заключения с расчетами убытков и потерь лесохозяйственного производства. Сумма убытков и потерь лесохозяйственного производства оплачивается пользователем равными долями в течение 3 (три) лет после заключения договора о пользовании землями государственного лесного фонда за исключением суммы, указанной в </w:t>
      </w:r>
      <w:r>
        <w:rPr>
          <w:rFonts w:ascii="Arial" w:cs="Arial" w:eastAsia="Arial" w:hAnsi="Arial"/>
          <w:sz w:val="24"/>
          <w:szCs w:val="24"/>
        </w:rPr>
        <w:t xml:space="preserve">пункте 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сентября 2024 года № 72 (3626)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aonhijtt1h2o2gcjd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dalil.kg/document/230013414</w:t>
      </w:r>
    </w:hyperlink>
  </w:p>
  <w:p>
    <w:pPr>
      <w:spacing w:after="0" w:before="40"/>
      <w:jc w:val="center"/>
    </w:pPr>
    <w:hyperlink w:history="1" r:id="rId0x_vaz9zdt-vsqtfeuy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uuce5dphdzse4eih4lq" Type="http://schemas.openxmlformats.org/officeDocument/2006/relationships/hyperlink" Target="https://dalil.kg/document/435085" TargetMode="External"/><Relationship Id="rIdgvar8pfmvu-9losliiiwb" Type="http://schemas.openxmlformats.org/officeDocument/2006/relationships/hyperlink" Target="https://dalil.kg/document/112301#st_13" TargetMode="External"/><Relationship Id="rId5lwt9jslv2roheddjctmu" Type="http://schemas.openxmlformats.org/officeDocument/2006/relationships/hyperlink" Target="https://dalil.kg/document/112301#st_17" TargetMode="External"/><Relationship Id="rIdoiemp1ckg3ezhpqtuivi1" Type="http://schemas.openxmlformats.org/officeDocument/2006/relationships/hyperlink" Target="https://dalil.kg/document/11731" TargetMode="External"/><Relationship Id="rIdjgapxxqyf8kmfz3fvwckh" Type="http://schemas.openxmlformats.org/officeDocument/2006/relationships/hyperlink" Target="https://dalil.kg/document/230013413" TargetMode="External"/><Relationship Id="rIdx78edwtxuwl_1_lkpujkq" Type="http://schemas.openxmlformats.org/officeDocument/2006/relationships/hyperlink" Target="https://dalil.kg/document/230013413" TargetMode="External"/><Relationship Id="rIdlwjt7wbrcd4ltwd4htu7h" Type="http://schemas.openxmlformats.org/officeDocument/2006/relationships/hyperlink" Target="https://dalil.kg/document/11731" TargetMode="External"/><Relationship Id="rIdugda95ji3uknetuxtcwig" Type="http://schemas.openxmlformats.org/officeDocument/2006/relationships/hyperlink" Target="https://dalil.kg/document/94658" TargetMode="External"/><Relationship Id="rId_dciu_mnn-jof8z9rufv1" Type="http://schemas.openxmlformats.org/officeDocument/2006/relationships/hyperlink" Target="https://dalil.kg/document/94655" TargetMode="External"/><Relationship Id="rIdounhp6cri6wcaa9c1wyoa" Type="http://schemas.openxmlformats.org/officeDocument/2006/relationships/hyperlink" Target="https://dalil.kg/document/94658" TargetMode="External"/><Relationship Id="rIductqonlh0fvgq_cbtpblm" Type="http://schemas.openxmlformats.org/officeDocument/2006/relationships/hyperlink" Target="https://dalil.kg/document/9465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aonhijtt1h2o2gcjdxc" Type="http://schemas.openxmlformats.org/officeDocument/2006/relationships/hyperlink" Target="https://dalil.kg/document/230013414" TargetMode="External"/><Relationship Id="rId0x_vaz9zdt-vsqtfeuy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2026-09-23T22:43:08.162Z</dcterms:created>
  <dcterms:modified xsi:type="dcterms:W3CDTF">2026-09-23T22:43:08.162Z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