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сентября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4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164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«О возобновляемых источниках энергии»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ir7etrfrnrcinn4zco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возобновляемых источниках энергии» (газета «Эркин-Тоо» от 5 июля 2022 года № 58)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2 </w:t>
      </w:r>
      <w:hyperlink w:history="1" r:id="rIdpx0ammtdv8ljjlud9jd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1 </w:t>
      </w:r>
      <w:hyperlink w:history="1" r:id="rIdmpmu5x3hesdts7kgfnm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18 слово «единожды»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пунктом 28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предельный уровень тарифа - </w:t>
      </w:r>
      <w:r>
        <w:rPr>
          <w:rFonts w:ascii="Arial" w:cs="Arial" w:eastAsia="Arial" w:hAnsi="Arial"/>
          <w:sz w:val="24"/>
          <w:szCs w:val="24"/>
        </w:rPr>
        <w:t xml:space="preserve">максимальная величина цен на все виды энергии, получаемые от ВИЭ. Предельный уровень тарифа может пойти на понижение.»;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at-pwiqhkgvhjs3tsh0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пункта 7 слово «тариф» заменить словами «предельный уровень тарифа»;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19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«19) тарифы на электроэнергию, вырабатываемую установками с использованием ВИЭ в рамках инвестиционного соглашения и (или) соглашения о государственно-частном партнерстве, подлежат ежемесячной индексации в порядке, определяемом Кабинетом Министров Кыргызской Республики с учетом изменения обменного курса иностранной валюты по отношению к национальной валюте;»;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пунктом 21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«21) выделение субъектом ВИЭ 1% от общего объема выработанной электрической энергии с использованием ВИЭ в пользу органа местного самоуправления, на территории которого расположен объект ВИЭ.»;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4tl7qvaxfbqifnpacov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частями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Льготный период на электрическую энергию, предоставленный для субъектов ВИЭ до вступления в силу настоящего Закона, продолжает действовать до окончания срока льготного периода с исчислением тарифа на электрическую энергию для субъектов ВИЭ, установленного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Субъекты ВИЭ, введенные в эксплуатацию (акт оценки соответствия вводимого в эксплуатацию завершенного строительством объекта) до вступления в силу настоящего Закона, но не получившие льготный период и тарифные преференции, имеют право на льготный период и тарифные преференции, предусмотренные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Льготный период и тарифные преференции устанавливаются уполномоченным органом индивидуально за вычетом отработанных лет с момента ввода в эксплуатацию и вступления в силу настоящего Закона.».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17 сентября 2024 года № 71 (3625)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со дня вступления в силу настоящего Закона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 сентября 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ar-qudcra54bk3nh3c9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dalil.kg/document/230014368</w:t>
      </w:r>
    </w:hyperlink>
  </w:p>
  <w:p>
    <w:pPr>
      <w:spacing w:after="0" w:before="40"/>
      <w:jc w:val="center"/>
    </w:pPr>
    <w:hyperlink w:history="1" r:id="rIdop8j_yrwrytts7tuev9-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ir7etrfrnrcinn4zcocg" Type="http://schemas.openxmlformats.org/officeDocument/2006/relationships/hyperlink" Target="https://dalil.kg/document/112382" TargetMode="External"/><Relationship Id="rIdpx0ammtdv8ljjlud9jd0l" Type="http://schemas.openxmlformats.org/officeDocument/2006/relationships/hyperlink" Target="https://dalil.kg/document/112382#st_2" TargetMode="External"/><Relationship Id="rIdmpmu5x3hesdts7kgfnmlx" Type="http://schemas.openxmlformats.org/officeDocument/2006/relationships/hyperlink" Target="https://dalil.kg/document/112382#st_3" TargetMode="External"/><Relationship Id="rIdat-pwiqhkgvhjs3tsh0o3" Type="http://schemas.openxmlformats.org/officeDocument/2006/relationships/hyperlink" Target="https://dalil.kg/document/112382#st_12" TargetMode="External"/><Relationship Id="rId4tl7qvaxfbqifnpacovmv" Type="http://schemas.openxmlformats.org/officeDocument/2006/relationships/hyperlink" Target="https://dalil.kg/document/112382#st_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ar-qudcra54bk3nh3c9e" Type="http://schemas.openxmlformats.org/officeDocument/2006/relationships/hyperlink" Target="https://dalil.kg/document/230014368" TargetMode="External"/><Relationship Id="rIdop8j_yrwrytts7tuev9-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2026-09-24T14:01:31.850Z</dcterms:created>
  <dcterms:modified xsi:type="dcterms:W3CDTF">2026-09-24T14:01:31.850Z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