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7 августа 2024 года № 162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порядке проведения проверок субъектов предпринимательства", "О конкуренции")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gddb49deiifq8s5wahn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(Ведомости Жогорку Кенеша Кыргызской Республики, 2007 г., № 5, ст.463) следующие изменения:</w:t>
      </w:r>
    </w:p>
    <w:p>
      <w:pPr>
        <w:spacing w:after="120"/>
        <w:ind w:firstLine="567"/>
        <w:jc w:val="both"/>
      </w:pPr>
      <w:r>
        <w:rPr>
          <w:rFonts w:ascii="Arial" w:cs="Arial" w:eastAsia="Arial" w:hAnsi="Arial"/>
          <w:sz w:val="24"/>
          <w:szCs w:val="24"/>
        </w:rPr>
        <w:t xml:space="preserve">1) часть 5 </w:t>
      </w:r>
      <w:hyperlink w:history="1" r:id="rIdqopukguegdgxlihe2cnuk">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 государственным антимонопольным органом по признакам завышения (занижения) потребительских цен при действиях хозяйствующих субъектов, противоречащих антимонопольному законодательству, при государственном регулировании цен на социально значимые товары, а также при мотивированном представлении Евразийской экономической комиссии. Порядок осуществления контроля уполномоченным государственным органом по регулированию и надзору в области антимонопольного законодательства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2) предложение второе абзаца второго</w:t>
      </w:r>
      <w:hyperlink w:history="1" r:id="rIdcg_eilxhkd-ukm1ko83mr">
        <w:r>
          <w:rPr>
            <w:rFonts w:ascii="Arial" w:cs="Arial" w:eastAsia="Arial" w:hAnsi="Arial"/>
            <w:color w:val="1D4ED8"/>
            <w:sz w:val="24"/>
            <w:szCs w:val="24"/>
            <w:u w:val="single"/>
          </w:rPr>
          <w:t xml:space="preserve"> статьи 2</w:t>
        </w:r>
      </w:hyperlink>
      <w:r>
        <w:rPr>
          <w:rFonts w:ascii="Arial" w:cs="Arial" w:eastAsia="Arial" w:hAnsi="Arial"/>
          <w:sz w:val="24"/>
          <w:szCs w:val="24"/>
        </w:rPr>
        <w:t xml:space="preserve"> исключить.</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g6xajwhs3rdnwgaf7q7la">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конкуренции" (Ведомости Жогорку Кенеша Кыргызской Республики, 2011 г., № 7, ст.1019) следующие изменения:</w:t>
      </w:r>
    </w:p>
    <w:p>
      <w:pPr>
        <w:spacing w:after="120"/>
        <w:ind w:firstLine="567"/>
        <w:jc w:val="both"/>
      </w:pPr>
      <w:r>
        <w:rPr>
          <w:rFonts w:ascii="Arial" w:cs="Arial" w:eastAsia="Arial" w:hAnsi="Arial"/>
          <w:sz w:val="24"/>
          <w:szCs w:val="24"/>
        </w:rPr>
        <w:t xml:space="preserve">1) в </w:t>
      </w:r>
      <w:hyperlink w:history="1" r:id="rIdahacjrmnj0q8-pgwxqql8">
        <w:r>
          <w:rPr>
            <w:rFonts w:ascii="Arial" w:cs="Arial" w:eastAsia="Arial" w:hAnsi="Arial"/>
            <w:color w:val="1D4ED8"/>
            <w:sz w:val="24"/>
            <w:szCs w:val="24"/>
            <w:u w:val="single"/>
          </w:rPr>
          <w:t xml:space="preserve">статье 2:</w:t>
        </w:r>
      </w:hyperlink>
    </w:p>
    <w:p>
      <w:pPr>
        <w:spacing w:after="120"/>
        <w:ind w:firstLine="567"/>
        <w:jc w:val="both"/>
      </w:pPr>
      <w:r>
        <w:rPr>
          <w:rFonts w:ascii="Arial" w:cs="Arial" w:eastAsia="Arial" w:hAnsi="Arial"/>
          <w:sz w:val="24"/>
          <w:szCs w:val="24"/>
        </w:rPr>
        <w:t xml:space="preserve">а) в абзаце первом слова "физические и юридические лица" заменить словами "физические и юридические лица, в том числе иностранные юридические лица";</w:t>
      </w:r>
    </w:p>
    <w:p>
      <w:pPr>
        <w:spacing w:after="120"/>
        <w:ind w:firstLine="567"/>
        <w:jc w:val="both"/>
      </w:pPr>
      <w:r>
        <w:rPr>
          <w:rFonts w:ascii="Arial" w:cs="Arial" w:eastAsia="Arial" w:hAnsi="Arial"/>
          <w:sz w:val="24"/>
          <w:szCs w:val="24"/>
        </w:rPr>
        <w:t xml:space="preserve">б) дополнить абзацами следующего содержания:</w:t>
      </w:r>
    </w:p>
    <w:p>
      <w:pPr>
        <w:spacing w:after="120"/>
        <w:ind w:firstLine="567"/>
        <w:jc w:val="both"/>
      </w:pPr>
      <w:r>
        <w:rPr>
          <w:rFonts w:ascii="Arial" w:cs="Arial" w:eastAsia="Arial" w:hAnsi="Arial"/>
          <w:sz w:val="24"/>
          <w:szCs w:val="24"/>
        </w:rPr>
        <w:t xml:space="preserve">"Положения настоящего Закона применяются к достигнутым за пределами территории Кыргызской Республики соглашениям между отечественными и/или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Кыргызской Республики. Рассматриваются такие нарушения антимонопольным органом путем заключения двусторонних соглашений в рамках работы с международными организациями, а также другими способами взаимодействия.</w:t>
      </w:r>
    </w:p>
    <w:p>
      <w:pPr>
        <w:spacing w:after="120"/>
        <w:ind w:firstLine="567"/>
        <w:jc w:val="both"/>
      </w:pPr>
      <w:r>
        <w:rPr>
          <w:rFonts w:ascii="Arial" w:cs="Arial" w:eastAsia="Arial" w:hAnsi="Arial"/>
          <w:sz w:val="24"/>
          <w:szCs w:val="24"/>
        </w:rPr>
        <w:t xml:space="preserve">Нормы настоящего Закона не распространяются на отношения, урегулированные общими правилами конкуренции на трансграничных рынках, контроль за соблюдением которых находится в компетенции Евразийской экономической комиссии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в </w:t>
      </w:r>
      <w:hyperlink w:history="1" r:id="rId7u1r-e1gltfr2f7lmpzps">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признать утратившим силу;</w:t>
      </w:r>
    </w:p>
    <w:p>
      <w:pPr>
        <w:spacing w:after="120"/>
        <w:ind w:firstLine="567"/>
        <w:jc w:val="both"/>
      </w:pPr>
      <w:r>
        <w:rPr>
          <w:rFonts w:ascii="Arial" w:cs="Arial" w:eastAsia="Arial" w:hAnsi="Arial"/>
          <w:sz w:val="24"/>
          <w:szCs w:val="24"/>
        </w:rPr>
        <w:t xml:space="preserve">б) абзац третий изложить в следующей редакции;</w:t>
      </w:r>
    </w:p>
    <w:p>
      <w:pPr>
        <w:spacing w:after="120"/>
        <w:ind w:firstLine="567"/>
        <w:jc w:val="both"/>
      </w:pPr>
      <w:r>
        <w:rPr>
          <w:rFonts w:ascii="Arial" w:cs="Arial" w:eastAsia="Arial" w:hAnsi="Arial"/>
          <w:sz w:val="24"/>
          <w:szCs w:val="24"/>
        </w:rPr>
        <w:t xml:space="preserve">"Национальный банк осуществляет антимонопольное регулирование деятельности лиц, поднадзорных Национальному банку.";</w:t>
      </w:r>
    </w:p>
    <w:p>
      <w:pPr>
        <w:spacing w:after="120"/>
        <w:ind w:firstLine="567"/>
        <w:jc w:val="both"/>
      </w:pPr>
      <w:r>
        <w:rPr>
          <w:rFonts w:ascii="Arial" w:cs="Arial" w:eastAsia="Arial" w:hAnsi="Arial"/>
          <w:sz w:val="24"/>
          <w:szCs w:val="24"/>
        </w:rPr>
        <w:t xml:space="preserve">3) в </w:t>
      </w:r>
      <w:hyperlink w:history="1" r:id="rId8p4d5ou-cw2zf9i2twltc">
        <w:r>
          <w:rPr>
            <w:rFonts w:ascii="Arial" w:cs="Arial" w:eastAsia="Arial" w:hAnsi="Arial"/>
            <w:color w:val="1D4ED8"/>
            <w:sz w:val="24"/>
            <w:szCs w:val="24"/>
            <w:u w:val="single"/>
          </w:rPr>
          <w:t xml:space="preserve">статье 3:</w:t>
        </w:r>
      </w:hyperlink>
    </w:p>
    <w:p>
      <w:pPr>
        <w:spacing w:after="120"/>
        <w:ind w:firstLine="567"/>
        <w:jc w:val="both"/>
      </w:pPr>
      <w:r>
        <w:rPr>
          <w:rFonts w:ascii="Arial" w:cs="Arial" w:eastAsia="Arial" w:hAnsi="Arial"/>
          <w:sz w:val="24"/>
          <w:szCs w:val="24"/>
        </w:rPr>
        <w:t xml:space="preserve">а) абзац двадцать пятый изложить в следующей редакции:</w:t>
      </w:r>
    </w:p>
    <w:p>
      <w:pPr>
        <w:spacing w:after="120"/>
        <w:ind w:firstLine="567"/>
        <w:jc w:val="both"/>
      </w:pPr>
      <w:r>
        <w:rPr>
          <w:rFonts w:ascii="Arial" w:cs="Arial" w:eastAsia="Arial" w:hAnsi="Arial"/>
          <w:sz w:val="24"/>
          <w:szCs w:val="24"/>
        </w:rPr>
        <w:t xml:space="preserve">"хозяйствующий субъект - коммерческая организация, осуществляющая деятельность, приносящую ей доход, и некоммерческая организация, подлежащие государственной регистрации и (или) лицензированию в соответствии с законодательством в сфере регистрации юридических лиц и лицензионно-разрешительной системе, и иностранные юридические лица, а также индивидуальный предприниматель, осуществляющий деятельность, приносящую доход, зарегистрированный в соответствии с налоговым законодательством;";</w:t>
      </w:r>
    </w:p>
    <w:p>
      <w:pPr>
        <w:spacing w:after="120"/>
        <w:ind w:firstLine="567"/>
        <w:jc w:val="both"/>
      </w:pPr>
      <w:r>
        <w:rPr>
          <w:rFonts w:ascii="Arial" w:cs="Arial" w:eastAsia="Arial" w:hAnsi="Arial"/>
          <w:sz w:val="24"/>
          <w:szCs w:val="24"/>
        </w:rPr>
        <w:t xml:space="preserve">б) абзац двадцать восьмой признать утратившим силу;</w:t>
      </w:r>
    </w:p>
    <w:p>
      <w:pPr>
        <w:spacing w:after="120"/>
        <w:ind w:firstLine="567"/>
        <w:jc w:val="both"/>
      </w:pPr>
      <w:r>
        <w:rPr>
          <w:rFonts w:ascii="Arial" w:cs="Arial" w:eastAsia="Arial" w:hAnsi="Arial"/>
          <w:sz w:val="24"/>
          <w:szCs w:val="24"/>
        </w:rPr>
        <w:t xml:space="preserve">в) абзацы тридцать четвертый и тридцать пятый на официальном языке изложить в следующей редакции:</w:t>
      </w:r>
    </w:p>
    <w:p>
      <w:pPr>
        <w:spacing w:after="120"/>
        <w:ind w:firstLine="567"/>
        <w:jc w:val="both"/>
      </w:pPr>
      <w:r>
        <w:rPr>
          <w:rFonts w:ascii="Arial" w:cs="Arial" w:eastAsia="Arial" w:hAnsi="Arial"/>
          <w:sz w:val="24"/>
          <w:szCs w:val="24"/>
        </w:rPr>
        <w:t xml:space="preserve">"координация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деятельность на том товарном рынке (товарных рынках),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pPr>
        <w:spacing w:after="120"/>
        <w:ind w:firstLine="567"/>
        <w:jc w:val="both"/>
      </w:pPr>
      <w:r>
        <w:rPr>
          <w:rFonts w:ascii="Arial" w:cs="Arial" w:eastAsia="Arial" w:hAnsi="Arial"/>
          <w:sz w:val="24"/>
          <w:szCs w:val="24"/>
        </w:rPr>
        <w:t xml:space="preserve">конкурентная цена финансовой услуги - цена, по которой финансовая услуга может быть оказана в условиях конкуренции;";</w:t>
      </w:r>
    </w:p>
    <w:p>
      <w:pPr>
        <w:spacing w:after="120"/>
        <w:ind w:firstLine="567"/>
        <w:jc w:val="both"/>
      </w:pPr>
      <w:r>
        <w:rPr>
          <w:rFonts w:ascii="Arial" w:cs="Arial" w:eastAsia="Arial" w:hAnsi="Arial"/>
          <w:sz w:val="24"/>
          <w:szCs w:val="24"/>
        </w:rPr>
        <w:t xml:space="preserve">г) дополнить абзацем следующего содержания:</w:t>
      </w:r>
    </w:p>
    <w:p>
      <w:pPr>
        <w:spacing w:after="120"/>
        <w:ind w:firstLine="567"/>
        <w:jc w:val="both"/>
      </w:pPr>
      <w:r>
        <w:rPr>
          <w:rFonts w:ascii="Arial" w:cs="Arial" w:eastAsia="Arial" w:hAnsi="Arial"/>
          <w:sz w:val="24"/>
          <w:szCs w:val="24"/>
        </w:rPr>
        <w:t xml:space="preserve">"картель - объединение хозяйствующих субъектов одной отрасли, в котором устанавливаются обязательные для всех участников условия по объему производства, ценам, доле на рынке сбыта и другие. Хозяйствующие субъекты, вступающие в картельное соглашение, сохраняют свою юридическую и хозяйственную самостоятельность.";</w:t>
      </w:r>
    </w:p>
    <w:p>
      <w:pPr>
        <w:spacing w:after="120"/>
        <w:ind w:firstLine="567"/>
        <w:jc w:val="both"/>
      </w:pPr>
      <w:r>
        <w:rPr>
          <w:rFonts w:ascii="Arial" w:cs="Arial" w:eastAsia="Arial" w:hAnsi="Arial"/>
          <w:sz w:val="24"/>
          <w:szCs w:val="24"/>
        </w:rPr>
        <w:t xml:space="preserve">4) часть 3 </w:t>
      </w:r>
      <w:hyperlink w:history="1" r:id="rIda1nqsox7atfdukueaj9nt">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Доминирующим признается положение каждого хозяйствующего субъекта или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pPr>
        <w:spacing w:after="120"/>
        <w:ind w:firstLine="567"/>
        <w:jc w:val="both"/>
      </w:pPr>
      <w:r>
        <w:rPr>
          <w:rFonts w:ascii="Arial" w:cs="Arial" w:eastAsia="Arial" w:hAnsi="Arial"/>
          <w:sz w:val="24"/>
          <w:szCs w:val="24"/>
        </w:rPr>
        <w:t xml:space="preserve">1) совокупная доля не более чем трех хозяйствующих субъектов превышает 50 процентов, при этом доля каждого из которых больше доли других субъектов на этом рынке, или совокупная доля не более чем пяти хозяйствующих субъектов составляет 70 и более процентов, при этом доля каждого из которых больше долей других хозяйствующих субъектов на соответствующем рынке (настоящее положение не применяется, если доля хотя бы одного из указанных хозяйствующих субъектов менее чем 10 процентов);</w:t>
      </w:r>
    </w:p>
    <w:p>
      <w:pPr>
        <w:spacing w:after="120"/>
        <w:ind w:firstLine="567"/>
        <w:jc w:val="both"/>
      </w:pPr>
      <w:r>
        <w:rPr>
          <w:rFonts w:ascii="Arial" w:cs="Arial" w:eastAsia="Arial" w:hAnsi="Arial"/>
          <w:sz w:val="24"/>
          <w:szCs w:val="24"/>
        </w:rPr>
        <w:t xml:space="preserve">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pPr>
        <w:spacing w:after="120"/>
        <w:ind w:firstLine="567"/>
        <w:jc w:val="both"/>
      </w:pPr>
      <w:r>
        <w:rPr>
          <w:rFonts w:ascii="Arial" w:cs="Arial" w:eastAsia="Arial" w:hAnsi="Arial"/>
          <w:sz w:val="24"/>
          <w:szCs w:val="24"/>
        </w:rPr>
        <w:t xml:space="preserve">3) невзаимозаменяемость товара, реализуемого или приобретаемого такими хозяйствующими субъектами (субъектами рынка), другим товаром при потреблении (в том числе при потреблении в производственных целях), необусловленность роста цены товара соответствующему такому уровню снижения спроса на этот товар, доступность информации о цене, об условиях реализации или приобретения этого товара на соответствующем товарном рынке неопределенным кругом лиц.";</w:t>
      </w:r>
    </w:p>
    <w:p>
      <w:pPr>
        <w:spacing w:after="120"/>
        <w:ind w:firstLine="567"/>
        <w:jc w:val="both"/>
      </w:pPr>
      <w:r>
        <w:rPr>
          <w:rFonts w:ascii="Arial" w:cs="Arial" w:eastAsia="Arial" w:hAnsi="Arial"/>
          <w:sz w:val="24"/>
          <w:szCs w:val="24"/>
        </w:rPr>
        <w:t xml:space="preserve">5) абзац первый части 1 </w:t>
      </w:r>
      <w:hyperlink w:history="1" r:id="rId4kkcjj5gkgmy4ljhooixc">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Признаются картелем и запрещаются горизонтальные соглашения между хозяйствующими субъектами - 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 ограничению конкуренции, в том числе соглашения, направленные:";</w:t>
      </w:r>
    </w:p>
    <w:p>
      <w:pPr>
        <w:spacing w:after="120"/>
        <w:ind w:firstLine="567"/>
        <w:jc w:val="both"/>
      </w:pPr>
      <w:r>
        <w:rPr>
          <w:rFonts w:ascii="Arial" w:cs="Arial" w:eastAsia="Arial" w:hAnsi="Arial"/>
          <w:sz w:val="24"/>
          <w:szCs w:val="24"/>
        </w:rPr>
        <w:t xml:space="preserve">6) </w:t>
      </w:r>
      <w:hyperlink w:history="1" r:id="rId4nmqspnz4emmhhapmd4c5">
        <w:r>
          <w:rPr>
            <w:rFonts w:ascii="Arial" w:cs="Arial" w:eastAsia="Arial" w:hAnsi="Arial"/>
            <w:color w:val="1D4ED8"/>
            <w:sz w:val="24"/>
            <w:szCs w:val="24"/>
            <w:u w:val="single"/>
          </w:rPr>
          <w:t xml:space="preserve">статью 9 </w:t>
        </w:r>
      </w:hyperlink>
      <w:r>
        <w:rPr>
          <w:rFonts w:ascii="Arial" w:cs="Arial" w:eastAsia="Arial" w:hAnsi="Arial"/>
          <w:sz w:val="24"/>
          <w:szCs w:val="24"/>
        </w:rPr>
        <w:t xml:space="preserve">дополнить частью 6 следующего содержания:</w:t>
      </w:r>
    </w:p>
    <w:p>
      <w:pPr>
        <w:spacing w:after="120"/>
        <w:ind w:firstLine="567"/>
        <w:jc w:val="both"/>
      </w:pPr>
      <w:r>
        <w:rPr>
          <w:rFonts w:ascii="Arial" w:cs="Arial" w:eastAsia="Arial" w:hAnsi="Arial"/>
          <w:sz w:val="24"/>
          <w:szCs w:val="24"/>
        </w:rPr>
        <w:t xml:space="preserve">"6. Государство вправе законом ограничивать конкуренцию в тех сферах деятельности, в которых реализация товаров (работ, услуг) на конкурентном рынке может оказать негативное влияние на состояние государственных экономических интересов, национальной безопасности и охраны здоровья населения, путем закрепления исключительного права государства на производство и (или) продажу, покупку товара (работ, услуг) или пользование им.</w:t>
      </w:r>
    </w:p>
    <w:p>
      <w:pPr>
        <w:spacing w:after="120"/>
        <w:ind w:firstLine="567"/>
        <w:jc w:val="both"/>
      </w:pPr>
      <w:r>
        <w:rPr>
          <w:rFonts w:ascii="Arial" w:cs="Arial" w:eastAsia="Arial" w:hAnsi="Arial"/>
          <w:sz w:val="24"/>
          <w:szCs w:val="24"/>
        </w:rPr>
        <w:t xml:space="preserve">Закон о введении государственной монополии на производство, реализацию и приобретение товара (работ, услуг) вступает в силу не ранее одного года со дня его принятия.";</w:t>
      </w:r>
    </w:p>
    <w:p>
      <w:pPr>
        <w:spacing w:after="120"/>
        <w:ind w:firstLine="567"/>
        <w:jc w:val="both"/>
      </w:pPr>
      <w:r>
        <w:rPr>
          <w:rFonts w:ascii="Arial" w:cs="Arial" w:eastAsia="Arial" w:hAnsi="Arial"/>
          <w:sz w:val="24"/>
          <w:szCs w:val="24"/>
        </w:rPr>
        <w:t xml:space="preserve">7) </w:t>
      </w:r>
      <w:hyperlink w:history="1" r:id="rIdrckhlqnqakyeg4f0vtz77">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ptg5pqjnkdd8hjtxl5jzs">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Права сотрудников антимонопольного органа на получение информации</w:t>
      </w:r>
    </w:p>
    <w:p>
      <w:pPr>
        <w:spacing w:after="120"/>
        <w:ind w:firstLine="567"/>
        <w:jc w:val="both"/>
      </w:pPr>
      <w:r>
        <w:rPr>
          <w:rFonts w:ascii="Arial" w:cs="Arial" w:eastAsia="Arial" w:hAnsi="Arial"/>
          <w:sz w:val="24"/>
          <w:szCs w:val="24"/>
        </w:rPr>
        <w:t xml:space="preserve">1. Сотрудники антимонопольного органа при рассмотрении заявлений и дел о нарушении антимонопольного законодательства, осуществлении государственного контроля за экономической концентрацией и проведением анализа состояния конкуренции в соответствии с возложенными на них полномочиями, при предъявлении ими служебных удостоверений и решения руководителя (его заместителя) антимонопольного органа имеют право на беспрепятственный доступ в государственные органы, органы местного самоуправления, организации и учреждения, хозяйствующие субъекты и их объединения независимо от их организационно-правовой формы и формы собственности для получения необходимых документов и информации, в том числе доступ к сведениям автоматизированных баз данных (информационных систем), за исключением баз данных (информационных систем) операторов электрической связи.</w:t>
      </w:r>
    </w:p>
    <w:p>
      <w:pPr>
        <w:spacing w:after="120"/>
        <w:ind w:firstLine="567"/>
        <w:jc w:val="both"/>
      </w:pPr>
      <w:r>
        <w:rPr>
          <w:rFonts w:ascii="Arial" w:cs="Arial" w:eastAsia="Arial" w:hAnsi="Arial"/>
          <w:sz w:val="24"/>
          <w:szCs w:val="24"/>
        </w:rPr>
        <w:t xml:space="preserve">2.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законодательством Кыргызской Республики о коммерческой тайне.".</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13 августа 2024 года № 61</w:t>
      </w:r>
    </w:p>
    <w:p>
      <w:pPr>
        <w:spacing w:after="12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27 июня 2024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rsmvdnbypz_qc3sldp2">
      <w:r>
        <w:rPr>
          <w:rFonts w:ascii="Arial" w:cs="Arial" w:eastAsia="Arial" w:hAnsi="Arial"/>
          <w:color w:val="132D3F"/>
          <w:sz w:val="16"/>
          <w:szCs w:val="16"/>
          <w:u w:val="single"/>
        </w:rPr>
        <w:t xml:space="preserve">dalil.kg/document/230014962</w:t>
      </w:r>
    </w:hyperlink>
  </w:p>
  <w:p>
    <w:pPr>
      <w:spacing w:after="0" w:before="40"/>
      <w:jc w:val="center"/>
    </w:pPr>
    <w:hyperlink w:history="1" r:id="rIdpibaidbv6xc1c5vps3ip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db49deiifq8s5wahnb" Type="http://schemas.openxmlformats.org/officeDocument/2006/relationships/hyperlink" Target="https://dalil.kg/document/202105" TargetMode="External"/><Relationship Id="rIdqopukguegdgxlihe2cnuk" Type="http://schemas.openxmlformats.org/officeDocument/2006/relationships/hyperlink" Target="https://dalil.kg/document/202105#st_1" TargetMode="External"/><Relationship Id="rIdcg_eilxhkd-ukm1ko83mr" Type="http://schemas.openxmlformats.org/officeDocument/2006/relationships/hyperlink" Target="https://dalil.kg/document/202105#st_2" TargetMode="External"/><Relationship Id="rIdg6xajwhs3rdnwgaf7q7la" Type="http://schemas.openxmlformats.org/officeDocument/2006/relationships/hyperlink" Target="https://dalil.kg/document/203356" TargetMode="External"/><Relationship Id="rIdahacjrmnj0q8-pgwxqql8" Type="http://schemas.openxmlformats.org/officeDocument/2006/relationships/hyperlink" Target="https://dalil.kg/document/203356#st_2" TargetMode="External"/><Relationship Id="rId7u1r-e1gltfr2f7lmpzps" Type="http://schemas.openxmlformats.org/officeDocument/2006/relationships/hyperlink" Target="https://dalil.kg/document/203356#st_2-1" TargetMode="External"/><Relationship Id="rId8p4d5ou-cw2zf9i2twltc" Type="http://schemas.openxmlformats.org/officeDocument/2006/relationships/hyperlink" Target="https://dalil.kg/document/203356#st_3" TargetMode="External"/><Relationship Id="rIda1nqsox7atfdukueaj9nt" Type="http://schemas.openxmlformats.org/officeDocument/2006/relationships/hyperlink" Target="https://dalil.kg/document/203356#st_4" TargetMode="External"/><Relationship Id="rId4kkcjj5gkgmy4ljhooixc" Type="http://schemas.openxmlformats.org/officeDocument/2006/relationships/hyperlink" Target="https://dalil.kg/document/203356#st_7" TargetMode="External"/><Relationship Id="rId4nmqspnz4emmhhapmd4c5" Type="http://schemas.openxmlformats.org/officeDocument/2006/relationships/hyperlink" Target="https://dalil.kg/document/203356#st_9" TargetMode="External"/><Relationship Id="rIdrckhlqnqakyeg4f0vtz77" Type="http://schemas.openxmlformats.org/officeDocument/2006/relationships/hyperlink" Target="https://dalil.kg/document/203356#st_14" TargetMode="External"/><Relationship Id="rIdptg5pqjnkdd8hjtxl5jzs" Type="http://schemas.openxmlformats.org/officeDocument/2006/relationships/hyperlink" Target="https://dalil.kg/document/203356#st_1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rsmvdnbypz_qc3sldp2" Type="http://schemas.openxmlformats.org/officeDocument/2006/relationships/hyperlink" Target="https://dalil.kg/document/230014962" TargetMode="External"/><Relationship Id="rIdpibaidbv6xc1c5vps3ip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2026-09-25T12:07:54.025Z</dcterms:created>
  <dcterms:modified xsi:type="dcterms:W3CDTF">2026-09-25T12:07:54.025Z</dcterms:modified>
</cp:coreProperties>
</file>

<file path=docProps/custom.xml><?xml version="1.0" encoding="utf-8"?>
<Properties xmlns="http://schemas.openxmlformats.org/officeDocument/2006/custom-properties" xmlns:vt="http://schemas.openxmlformats.org/officeDocument/2006/docPropsVTypes"/>
</file>