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24 ноября 2023 года № 735-р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vljdezgv_sakpg7-aks5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объявлении периода 2023-2027 годов Пятилетием действий по развитию горных регионов" от 15 сентября 2023 года № 237, в соответствии со статьями </w:t>
      </w:r>
      <w:hyperlink w:history="1" r:id="rIdmofjmgs5vosiytz_bwqx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-r6-hybp4dqijout0wpx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xlbtqqqqedlyesnfzzqs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Концепцию</w:t>
        </w:r>
      </w:hyperlink>
      <w:r>
        <w:rPr>
          <w:rFonts w:ascii="Arial" w:cs="Arial" w:eastAsia="Arial" w:hAnsi="Arial"/>
          <w:sz w:val="24"/>
          <w:szCs w:val="24"/>
        </w:rPr>
        <w:t xml:space="preserve"> проведения Пятилетия действий по развитию горных регионов согласно приложению 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Дорожную карту реализации Пятилетия действий по развитию горных регионов (далее - Дорожная карта)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2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Государственным органам, задействованным в реализации Дорожной карты, Национальному статистическому комитету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обеспечить своевременное и неукоснительное исполнение Дорожной карты;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итогам каждого полугодия, не позднее 15 числа месяца, следующего за отчетным периодом, предоставлять информацию о ходе реализации: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раздела I "Глобальный уровень: голос Кыргызской Республики, обмен опытом и знаниями" Дорожной карты в Министерство иностранных дел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раздела II "Региональный уровень: сохранение гор Центральной Азии и развитие сотрудничества", раздела III "Национальный и местный уровень" Дорожной карты в Министерство природных ресурсов, экологии и технического надзора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природных ресурсов, экологии и технического надзора Кыргызской Республики и Министерству иностранных дел Кыргызской Республики по итогам каждого полугодия до 30 числа месяца, следующего за отчетным периодом, предоставлять информацию о ходе реализации Дорожной карты в Администрацию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ДОРОЖНАЯ КАРТА
 реализации Пятилетия действий по развитию горных регионов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Цель</w:t>
      </w:r>
      <w:r>
        <w:rPr>
          <w:rFonts w:ascii="Arial" w:cs="Arial" w:eastAsia="Arial" w:hAnsi="Arial"/>
          <w:sz w:val="24"/>
          <w:szCs w:val="24"/>
        </w:rPr>
        <w:t xml:space="preserve">: Улучшение условий жизни населения и сохранение природы горных регионов.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Основные задачи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представленность и голос Кыргызской Республики в глобальных процессах устойчивого горного развития и обмен опытом с мировым сообществом;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расширение и углубление регионального сотрудничества в горах Центральной Азии и сопредельных территорий;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забота о людях в горах, улучшение качества их жизни и инфраструктуры, снижение загрязнения, риска стихийных бедствий и изменения климата, охрана и восстановление хрупкой и уникальной природы гор и интегрированный подход к устойчивому горному развитию.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Дорожная карта реализации Пятилетия действий по развитию горных регионов Кыргызской Республики на период 2023-2027 годов сочетает мероприятия глобального, регионального и национального масштабов, в том числе в рамках действующих и перспективных проектов и мер по целям устойчивого развития. Дорожная карта взаимодополняет и сочетается с Национальной программой развития Кыргызской Республики до 2026 года, национальными Целями устойчивого развития до 2030 года и озвученными намерениями по климатической нейтральности к 2050 году. Перечень мероприятий разработан путем консультаций и сбора предложений в первом полугодии 2023 года с участием основных заинтересованных сторон в Кыргызской Республике, в том числе ученых и сотрудников государственных органов, представителей экспертного сообщества и системы ООН. Учитывая разносторонность и динамичность горной повестки и проект Глобального рамочного плана горного развития, Дорожная карта Кыргызской Республики является гибким и открытым для обновления документом. Страновой офис ООН оказал содействие в разработке проекта Дорожной карты, включая консультации с организациями системы ООН.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67"/>
        <w:gridCol w:w="1927"/>
        <w:gridCol w:w="2062"/>
        <w:gridCol w:w="2349"/>
        <w:gridCol w:w="517"/>
        <w:gridCol w:w="1408"/>
        <w:gridCol w:w="1649"/>
      </w:tblGrid>
      <w:tr>
        <w:tc>
          <w:tcPr>
            <w:tcW w:type="dxa" w:w="26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9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Мероприятия</w:t>
            </w:r>
          </w:p>
        </w:tc>
        <w:tc>
          <w:tcPr>
            <w:tcW w:type="dxa" w:w="20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Ожидаемые результаты</w:t>
            </w:r>
          </w:p>
        </w:tc>
        <w:tc>
          <w:tcPr>
            <w:tcW w:type="dxa" w:w="23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госорганы/ведомства/учреждения</w:t>
            </w:r>
          </w:p>
        </w:tc>
        <w:tc>
          <w:tcPr>
            <w:tcW w:type="dxa" w:w="5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</w:t>
            </w:r>
          </w:p>
        </w:tc>
        <w:tc>
          <w:tcPr>
            <w:tcW w:type="dxa" w:w="14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Источники финансирования
 (по согласованию)</w:t>
            </w:r>
          </w:p>
        </w:tc>
        <w:tc>
          <w:tcPr>
            <w:tcW w:type="dxa" w:w="16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Партнеры по реализации
 (по согласованию)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Раздел I. Глобальный уровень: голос Кыргызской Республики, обмен опытом и знаниями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Начальные мероприятия по разработке и презентации глобального рамочного плана действий и Дорожной карты КР (форум HLPF ECOSOC и др.)</w:t>
            </w:r>
          </w:p>
        </w:tc>
        <w:tc>
          <w:tcPr>
            <w:tcW w:type="dxa" w:w="2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заинтересованных сторон, вклад страны в глобальное партнерство по горному развитию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год</w:t>
            </w:r>
          </w:p>
        </w:tc>
        <w:tc>
          <w:tcPr>
            <w:tcW w:type="dxa" w:w="1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доноров, ПРООН</w:t>
            </w:r>
          </w:p>
        </w:tc>
        <w:tc>
          <w:tcPr>
            <w:tcW w:type="dxa" w:w="1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Секретариат горного партнерства, ФАО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обращений в конвенции и глобальные фонды об интеграции и учете потребностей и особенностей горных стран в процессах и решениях</w:t>
            </w:r>
          </w:p>
        </w:tc>
        <w:tc>
          <w:tcPr>
            <w:tcW w:type="dxa" w:w="2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Продвижение горной повестки и учет особых интересов в переговорах, решениях и механизмах финансирования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МИД, МПРЭТН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2023-2025 годы</w:t>
            </w:r>
          </w:p>
        </w:tc>
        <w:tc>
          <w:tcPr>
            <w:tcW w:type="dxa" w:w="1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  <w:tc>
          <w:tcPr>
            <w:tcW w:type="dxa" w:w="1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Секретариат горного партнерства, ФАО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и проведение совместных мероприятий (сайд-ивентов, выступлений, павильонов) в рамках саммитов и конференций ООН</w:t>
            </w:r>
          </w:p>
        </w:tc>
        <w:tc>
          <w:tcPr>
            <w:tcW w:type="dxa" w:w="2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Привлечение внимания к проблемам и возможностям развития горных регионов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МИД, МПРЭТН, МТСОМ, МСХ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2023-2025 годы</w:t>
            </w:r>
          </w:p>
        </w:tc>
        <w:tc>
          <w:tcPr>
            <w:tcW w:type="dxa" w:w="1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  <w:tc>
          <w:tcPr>
            <w:tcW w:type="dxa" w:w="1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Система ООН, ОБСЕ, международные организации, РЭЦЦА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в международных оценках и мероприятиях по Международному году сохранения ледников (2025 год) и гор как источников водных ресурсов</w:t>
            </w:r>
          </w:p>
        </w:tc>
        <w:tc>
          <w:tcPr>
            <w:tcW w:type="dxa" w:w="2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Обмен опытом по проблемам сохранения ледников в горных странах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МИД, МОН, НАН, МЧС, МПРЭТН, Национальная комиссия по делам ЮНЕСКО (по согласованию)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2023-2025 годы</w:t>
            </w:r>
          </w:p>
        </w:tc>
        <w:tc>
          <w:tcPr>
            <w:tcW w:type="dxa" w:w="1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доноров, CROM-ADAPT, ЮНЕСКО, ЮНЕП</w:t>
            </w:r>
          </w:p>
        </w:tc>
        <w:tc>
          <w:tcPr>
            <w:tcW w:type="dxa" w:w="1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ЦАИИЗ, Кластерное Бюро ЮНЕСКО в Алматы, МГЭИК, ГЕО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при ООН группы горных государств. Участие Кыргызской Республики в глобальных горных партнерствах и сетях</w:t>
            </w:r>
          </w:p>
        </w:tc>
        <w:tc>
          <w:tcPr>
            <w:tcW w:type="dxa" w:w="2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Формализация группы друзей горных стран, расширение партнерства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МИД, МПРЭТН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2023-2025 годы</w:t>
            </w:r>
          </w:p>
        </w:tc>
        <w:tc>
          <w:tcPr>
            <w:tcW w:type="dxa" w:w="1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Группа друзей горных стран ООН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Изучение международного опыта по обмену внешнего долга на "зеленые" инициативы</w:t>
            </w:r>
          </w:p>
        </w:tc>
        <w:tc>
          <w:tcPr>
            <w:tcW w:type="dxa" w:w="2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Вклад в разработку финансового механизма/трастового фонда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МЭК, МИД, НАИ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2023-2025 годы</w:t>
            </w:r>
          </w:p>
        </w:tc>
        <w:tc>
          <w:tcPr>
            <w:tcW w:type="dxa" w:w="1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BIOFIN, ПРООН</w:t>
            </w:r>
          </w:p>
        </w:tc>
        <w:tc>
          <w:tcPr>
            <w:tcW w:type="dxa" w:w="1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Система ООН, международные организации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Вклад в развитие глобальных научно-образовательных и информационных платформ знаний и обмена опытом по устойчивому горному развитию, с перспективой создания Глобального горного университета</w:t>
            </w:r>
          </w:p>
        </w:tc>
        <w:tc>
          <w:tcPr>
            <w:tcW w:type="dxa" w:w="2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и вклад Кыргызской Республики в развитие собственных и глобальных платформ (Adaptation at Altitude, ЦУР, WOCAT, Panorama и др.)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МИГ МУК, НАН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2023-2027 годы</w:t>
            </w:r>
          </w:p>
        </w:tc>
        <w:tc>
          <w:tcPr>
            <w:tcW w:type="dxa" w:w="1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  <w:tc>
          <w:tcPr>
            <w:tcW w:type="dxa" w:w="1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Университет ООН, глобальные и региональные инф. платформы, центры горного сотрудничества, Секретариат горного партнерства, ФАО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Второго глобального Бишкекского горного саммита "Бишкек+25"*</w:t>
            </w:r>
          </w:p>
        </w:tc>
        <w:tc>
          <w:tcPr>
            <w:tcW w:type="dxa" w:w="2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Продвижение горной повестки на высоком уровне, обмен опытом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МИД, все министерства, Управление делами Президента КР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2025-2027 годы</w:t>
            </w:r>
          </w:p>
        </w:tc>
        <w:tc>
          <w:tcPr>
            <w:tcW w:type="dxa" w:w="1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  <w:tc>
          <w:tcPr>
            <w:tcW w:type="dxa" w:w="1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Секретариат горного партнерства, ФАО, ОБСЕ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Раздел II. Региональный уровень: сохранение гор Центральной Азии и развитие сотрудничества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Организационная реформа и усиление потенциала Регионального горного центра (РГЦ при МКУР), развитие сетей и партнерства ученых, госорганов и общественных организаций по сохранению гор Центральной Азии</w:t>
            </w:r>
          </w:p>
        </w:tc>
        <w:tc>
          <w:tcPr>
            <w:tcW w:type="dxa" w:w="2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Эффективно действующая региональная структура и сети, сфокусированные в вопросах устойчивого горного развития, защиты природы и климата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НАН, МИД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2023-2027 годы</w:t>
            </w:r>
          </w:p>
        </w:tc>
        <w:tc>
          <w:tcPr>
            <w:tcW w:type="dxa" w:w="1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доноров, CEPF</w:t>
            </w:r>
          </w:p>
        </w:tc>
        <w:tc>
          <w:tcPr>
            <w:tcW w:type="dxa" w:w="1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ЮНЕП, CEPF, Секретариат горного партнерства, ФАО, некоммерческие организации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Восстановление лесов, ландшафтов и сохранение ключевых видов флоры и фауны гор Центральной Азии, включая генофонд диких сородичей</w:t>
            </w:r>
          </w:p>
        </w:tc>
        <w:tc>
          <w:tcPr>
            <w:tcW w:type="dxa" w:w="2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Восстановление деградированных ландшафтов. Сохранение уязвимых и уникальных экосистем, животных и растений. Снижение риска стихийных бедствий. Сохранение генофонда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МСХ, МЧС, НАН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2023-2027 годы</w:t>
            </w:r>
          </w:p>
        </w:tc>
        <w:tc>
          <w:tcPr>
            <w:tcW w:type="dxa" w:w="1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ВБ Resiland СА+, IKI, CEPF</w:t>
            </w:r>
          </w:p>
        </w:tc>
        <w:tc>
          <w:tcPr>
            <w:tcW w:type="dxa" w:w="1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ВБ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ЮНЕП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"CAMP Alatoo", Fauna &amp; Flora International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партнеры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и проведение берегоукрепительных работ, восстановление нарушенных горных территорий и водоохранных зон</w:t>
            </w:r>
          </w:p>
        </w:tc>
        <w:tc>
          <w:tcPr>
            <w:tcW w:type="dxa" w:w="2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Приведение в безопасное состояние (рекультивация) мест хранения опасных и бытовых отходов и горных разработок.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рисков для природы и здоровья от опасных химических веществ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МСХ, МПРЭТН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2023-2027 годы</w:t>
            </w:r>
          </w:p>
        </w:tc>
        <w:tc>
          <w:tcPr>
            <w:tcW w:type="dxa" w:w="1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ЕС, ЕБРР, АБР, ОБСЕ, ЮНЕП, средства доноров</w:t>
            </w:r>
          </w:p>
        </w:tc>
        <w:tc>
          <w:tcPr>
            <w:tcW w:type="dxa" w:w="1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Специализированные и некоммерческие организации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и проведение работ по повышению осведомленности и принятие мер по снижению загрязненности туристических мест.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Региональная кооперация по Конвенции BRS и пластику </w:t>
            </w:r>
          </w:p>
        </w:tc>
        <w:tc>
          <w:tcPr>
            <w:tcW w:type="dxa" w:w="2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Очистка горных туристических мест и водоемов от мусора и пластиковых отходов. Разделение и переработка пластика. Развитие циркулярной экономики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2023-2027 годы</w:t>
            </w:r>
          </w:p>
        </w:tc>
        <w:tc>
          <w:tcPr>
            <w:tcW w:type="dxa" w:w="1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  <w:tc>
          <w:tcPr>
            <w:tcW w:type="dxa" w:w="1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ЮНЕП, некоммерческие организации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Сохранение глобально-значимых мигрирующих видов диких животных (снежный барс, архар, др.) и экокоридоров Центральной Азии</w:t>
            </w:r>
          </w:p>
        </w:tc>
        <w:tc>
          <w:tcPr>
            <w:tcW w:type="dxa" w:w="2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Обмен информацией, технологиями и методами учета видов, совместные программы по охране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НАН, GSLEP (по согласованию)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2023-2027 годы</w:t>
            </w:r>
          </w:p>
        </w:tc>
        <w:tc>
          <w:tcPr>
            <w:tcW w:type="dxa" w:w="1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CAMI, IKI</w:t>
            </w:r>
          </w:p>
        </w:tc>
        <w:tc>
          <w:tcPr>
            <w:tcW w:type="dxa" w:w="1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CMS, ЮНЕП, GIZ, GSLEP, CAMI, WWF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Актуализация региональной сети охраны природы всемирного наследия Тянь-Шаня и Памира в рамках партнерства стран Центральной Азии с КНР и регионом Гиндукуш-Гималаи (ICIMOD)</w:t>
            </w:r>
          </w:p>
        </w:tc>
        <w:tc>
          <w:tcPr>
            <w:tcW w:type="dxa" w:w="2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экотуризма, координация планов, системы управления и подходов, обмен опытом, привлечение внимания мирового сообщества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НАН, Национальная комиссия по делам ЮНЕСКО (по согласованию)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2023-2025 годы</w:t>
            </w:r>
          </w:p>
        </w:tc>
        <w:tc>
          <w:tcPr>
            <w:tcW w:type="dxa" w:w="1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ВБ, CEPF, ЮНЕСКО, средства доноров</w:t>
            </w:r>
          </w:p>
        </w:tc>
        <w:tc>
          <w:tcPr>
            <w:tcW w:type="dxa" w:w="1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Страны-соседи, ICIMOD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в объединении усилий региональных и зарубежных научно-образовательных организаций для исследований ледников, водных ресурсов, экосистем и горных сообществ Центральной Азии</w:t>
            </w:r>
          </w:p>
        </w:tc>
        <w:tc>
          <w:tcPr>
            <w:tcW w:type="dxa" w:w="2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Скоординированные подходы к исследованиям, обмен базами данных, разработка образовательных программ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НАН, МПРЭТН, МИГ МУК, МОН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2023-2027 годы</w:t>
            </w:r>
          </w:p>
        </w:tc>
        <w:tc>
          <w:tcPr>
            <w:tcW w:type="dxa" w:w="1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ВБ, CROM-ADAPT, АКДН, GIZ, РЭЦЦА, ОБСЕ</w:t>
            </w:r>
          </w:p>
        </w:tc>
        <w:tc>
          <w:tcPr>
            <w:tcW w:type="dxa" w:w="1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ВБ, UCA, ЦАИИЗ, МИГ МУК, университеты Фрибурга, Цюриха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Продвижение комплексного подхода управления водно-энергетическими и земельными ресурсами (NEXUS) и интегрированного управления водными ресурсами (ИУВР)</w:t>
            </w:r>
          </w:p>
        </w:tc>
        <w:tc>
          <w:tcPr>
            <w:tcW w:type="dxa" w:w="2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подходов NEXUS и ИУВР для оценки и учета баланса интересов использования воды в ирригации и энергетике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НАН, МЭК, МСХ, МИД, ЦАИИЗ (по согласованию)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2023-2027 годы</w:t>
            </w:r>
          </w:p>
        </w:tc>
        <w:tc>
          <w:tcPr>
            <w:tcW w:type="dxa" w:w="1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ВБ, CAWEP, OECD, SDC Blue Peace, GIZ, средства доноров</w:t>
            </w:r>
          </w:p>
        </w:tc>
        <w:tc>
          <w:tcPr>
            <w:tcW w:type="dxa" w:w="1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ВБ, GIZ, OECD, РЭЦЦА, ЕЭК ООН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в программах регионального экономического (CAREC, SPECA, CASA) и экологического сотрудничества (RESILAND, CAWEP, UNECE) в целях развития инфраструктуры, экологической устойчивости и снижения риска стихийных бедствий</w:t>
            </w:r>
          </w:p>
        </w:tc>
        <w:tc>
          <w:tcPr>
            <w:tcW w:type="dxa" w:w="2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доступа к инфраструктуре и рынкам. Региональный эффект и польза от сотрудничества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МЭК, МИД, МЧС, НАН, МЗ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2023-2027 годы</w:t>
            </w:r>
          </w:p>
        </w:tc>
        <w:tc>
          <w:tcPr>
            <w:tcW w:type="dxa" w:w="1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АБР, CAREC, ВБ, CAFEWS-САНМР, GIZ, ОБСЕ, ПРООН</w:t>
            </w:r>
          </w:p>
        </w:tc>
        <w:tc>
          <w:tcPr>
            <w:tcW w:type="dxa" w:w="1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РЭЦЦА, РЦГ, ЦЧССРБ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в региональных мероприятиях по созданию мер по охране здоровья населения и домашнего скота в горных регионах и густонаселенных районах Центральной Азии в условиях изменения климата и источников эпидемиологических опасностей. Оценка рисков</w:t>
            </w:r>
          </w:p>
        </w:tc>
        <w:tc>
          <w:tcPr>
            <w:tcW w:type="dxa" w:w="2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рисков эпидемий и принятие мер по адаптации населения и домашнего скота в горных районах. Региональный обмен опытом и информацией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МСХ, МОН, НАН, МПРЭТН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2023-2027 годы</w:t>
            </w:r>
          </w:p>
        </w:tc>
        <w:tc>
          <w:tcPr>
            <w:tcW w:type="dxa" w:w="1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  <w:tc>
          <w:tcPr>
            <w:tcW w:type="dxa" w:w="1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ADI, ВБ, АБР, ФАО, ЦКП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в региональных форумах по изменению климата, чистой воде и энергии, лесам и ландшафтам, включая Международный год ООН по пастбищам (2026 год)</w:t>
            </w:r>
          </w:p>
        </w:tc>
        <w:tc>
          <w:tcPr>
            <w:tcW w:type="dxa" w:w="2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общерегиональной и дифференцированных страновых позиций по глобальным вызовам, целям и обязательствам. Обмен опытом и привлечение инвестиций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МОН, НАН, МИД, МЭК, МСХ, МЗ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2023-2027 годы</w:t>
            </w:r>
          </w:p>
        </w:tc>
        <w:tc>
          <w:tcPr>
            <w:tcW w:type="dxa" w:w="1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ВБ, РЭЦЦА, GIZ, ФАО, ОБСЕ</w:t>
            </w:r>
          </w:p>
        </w:tc>
        <w:tc>
          <w:tcPr>
            <w:tcW w:type="dxa" w:w="1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Международные организации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Изучение вопросов миграции и перемещений населения под влиянием изменения климата и природной среды регионов Кыргызской Республики</w:t>
            </w:r>
          </w:p>
        </w:tc>
        <w:tc>
          <w:tcPr>
            <w:tcW w:type="dxa" w:w="2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Обмен данными по миграции населения, связанной с изменениями климата и окружающей среды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МТСОМ, НСК, МЗ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2023-2027 годы</w:t>
            </w:r>
          </w:p>
        </w:tc>
        <w:tc>
          <w:tcPr>
            <w:tcW w:type="dxa" w:w="1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  <w:tc>
          <w:tcPr>
            <w:tcW w:type="dxa" w:w="1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МОМ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Раздел III. Национальный и местный уровень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1. Система управления и планирования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межведомственной рабочей группы по координации реализации Дорожной карты.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информационного веб-сайта по "Пятилетию действий развития горных регионов"</w:t>
            </w:r>
          </w:p>
        </w:tc>
        <w:tc>
          <w:tcPr>
            <w:tcW w:type="dxa" w:w="2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Решение Кабинета Министров Кыргызской Республики о создании межведомственной рабочей группы. Онлайн платформа для обмена информацией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год</w:t>
            </w:r>
          </w:p>
        </w:tc>
        <w:tc>
          <w:tcPr>
            <w:tcW w:type="dxa" w:w="1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  <w:tc>
          <w:tcPr>
            <w:tcW w:type="dxa" w:w="1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Система ООН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Секретариата для координации и мониторинга выполнения Пятилетия действий по развитию горных регионов</w:t>
            </w:r>
          </w:p>
        </w:tc>
        <w:tc>
          <w:tcPr>
            <w:tcW w:type="dxa" w:w="2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Решение Кабинета Министров Кыргызской Республики о создании Секретариата, с определением штата, организационной структуры, бюджета, материально-технического обеспечения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Администрация Президента КР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год</w:t>
            </w:r>
          </w:p>
        </w:tc>
        <w:tc>
          <w:tcPr>
            <w:tcW w:type="dxa" w:w="1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  <w:tc>
          <w:tcPr>
            <w:tcW w:type="dxa" w:w="1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Система ООН, ОБСЕ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Информационное освещение в местных и зарубежных СМИ процесса выполнения Пятилетия действий по развитию горных регионов. Проведение регулярных встреч, политических диалогов</w:t>
            </w:r>
          </w:p>
        </w:tc>
        <w:tc>
          <w:tcPr>
            <w:tcW w:type="dxa" w:w="2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Интеграция горной повестки. Информирование государственных органов и научных кругов Кыргызской Республики через местные и зарубежные СМИ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МЭК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2023-2027 годы</w:t>
            </w:r>
          </w:p>
        </w:tc>
        <w:tc>
          <w:tcPr>
            <w:tcW w:type="dxa" w:w="1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  <w:tc>
          <w:tcPr>
            <w:tcW w:type="dxa" w:w="1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Система ООН, ЦАИИЗ, ОБСЕ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Проработка и апробирование механизмов по обмену внешнего долга на "зеленые" инициативы</w:t>
            </w:r>
          </w:p>
        </w:tc>
        <w:tc>
          <w:tcPr>
            <w:tcW w:type="dxa" w:w="2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Дорожная карта, финансовый механизм по обмену внешнего долга на "зеленые" инициативы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МЭК, МСХ, МПРЭТН, НАИ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2023-2027 годы</w:t>
            </w:r>
          </w:p>
        </w:tc>
        <w:tc>
          <w:tcPr>
            <w:tcW w:type="dxa" w:w="1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BIOFIN, ПРООН, ЗКФ (CS-FOR)</w:t>
            </w:r>
          </w:p>
        </w:tc>
        <w:tc>
          <w:tcPr>
            <w:tcW w:type="dxa" w:w="1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ПРООН, ФАО, некоммерческие организации, бизнес-сообщество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организационного комитета по проведению Второго глобального Бишкекского горного саммита "Бишкек+25"*</w:t>
            </w:r>
          </w:p>
        </w:tc>
        <w:tc>
          <w:tcPr>
            <w:tcW w:type="dxa" w:w="2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Решение Кабинета Министров КР о создании организационного комитета. Привлечение внимания мирового сообщества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МИД, Администрация Президента КР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2025-2027 годы</w:t>
            </w:r>
          </w:p>
        </w:tc>
        <w:tc>
          <w:tcPr>
            <w:tcW w:type="dxa" w:w="1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  <w:tc>
          <w:tcPr>
            <w:tcW w:type="dxa" w:w="1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Система ООН, ОБСЕ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2. Улучшение качества жизни населения и природной среды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 и обновление планов развития населенных пунктов и территорий в горных районах с учетом предпринимаемых мер по охране здоровья, окружающей среды и снижению риска стихийных бедствий</w:t>
            </w:r>
          </w:p>
        </w:tc>
        <w:tc>
          <w:tcPr>
            <w:tcW w:type="dxa" w:w="2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Решения Кабинета Министров КР и местных администраций. Улучшение подходов к благоустройству и качеству жизни населения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ПППКР в областях, МГА, ОМСУ, МЗ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2023-2027 годы</w:t>
            </w:r>
          </w:p>
        </w:tc>
        <w:tc>
          <w:tcPr>
            <w:tcW w:type="dxa" w:w="1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ВБ, АБР, средства доноров</w:t>
            </w:r>
          </w:p>
        </w:tc>
        <w:tc>
          <w:tcPr>
            <w:tcW w:type="dxa" w:w="1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МГА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стимулов и практики для зеленого строительства и повышение энергоэффективности домохозяйств и малого бизнеса с учетом гендерных аспектов, поддержки женщин, детей и молодежи***</w:t>
            </w:r>
          </w:p>
        </w:tc>
        <w:tc>
          <w:tcPr>
            <w:tcW w:type="dxa" w:w="2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Энергоэффективные технологии в малом бизнесе и домохозяйствах. Создание благоприятных условий ведения домашнего хозяйства для женщин, молодежи и детей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МТСОМ, МЭК, МПРЭТН, МЭ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2023-2027 годы</w:t>
            </w:r>
          </w:p>
        </w:tc>
        <w:tc>
          <w:tcPr>
            <w:tcW w:type="dxa" w:w="1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доноров, МОМ, ЕБРР, KYRSEFF</w:t>
            </w:r>
          </w:p>
        </w:tc>
        <w:tc>
          <w:tcPr>
            <w:tcW w:type="dxa" w:w="1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Микрофинансовые и некоммерческие организации, МОМ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качества воздуха в городах, ограничение и снижение выбросов парниковых газов и вредных веществ в атмосферу</w:t>
            </w:r>
          </w:p>
        </w:tc>
        <w:tc>
          <w:tcPr>
            <w:tcW w:type="dxa" w:w="2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Озеленение, развитие частного и общественного электрического транспорта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г.Бишкек, мэрия г.Ош, мэрии других городов Кыргызстана, МГА, МПРЭТН, МЭК, МТК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2023-2027 годы</w:t>
            </w:r>
          </w:p>
        </w:tc>
        <w:tc>
          <w:tcPr>
            <w:tcW w:type="dxa" w:w="1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Местный бюджет, республиканский бюджет, ВБ, АБР, ЮНЕП, средства доноров</w:t>
            </w:r>
          </w:p>
        </w:tc>
        <w:tc>
          <w:tcPr>
            <w:tcW w:type="dxa" w:w="1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ЮНЕП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Оценка и мониторинг состояния окружающей среды и обследование уровня жизни домохозяйств и состояния здоровья жителей гор на основе международных и национальных показателей</w:t>
            </w:r>
          </w:p>
        </w:tc>
        <w:tc>
          <w:tcPr>
            <w:tcW w:type="dxa" w:w="2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Ежегодные доклады на основе показателей окружающей среды, уровня жизни и состояния здоровья населения. Разработка и расчет интегральных индексов здоровья населения в научно-практических целях. Проработка адресных мер поддержки и решений для уязвимых горных районов и групп общества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МПРЭТН, МЭК, МЗ, НАН, НСК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2023-2027 годы</w:t>
            </w:r>
          </w:p>
        </w:tc>
        <w:tc>
          <w:tcPr>
            <w:tcW w:type="dxa" w:w="1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  <w:tc>
          <w:tcPr>
            <w:tcW w:type="dxa" w:w="1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ПРООН, ЮНЕП, ОБСЕ, Орхус-центры, некоммерческие организации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Расширение цифровых (ИТ) возможностей для жителей отдаленных горных районов, особенно женщин, детей и молодежи</w:t>
            </w:r>
          </w:p>
        </w:tc>
        <w:tc>
          <w:tcPr>
            <w:tcW w:type="dxa" w:w="2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курсов по подготовке квалифицированных IT-специалистов для цифровой индустрии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МЦР, МЗ, МОН, МТСОМ, МПРЭТН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2023-2027 годы</w:t>
            </w:r>
          </w:p>
        </w:tc>
        <w:tc>
          <w:tcPr>
            <w:tcW w:type="dxa" w:w="1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  <w:tc>
          <w:tcPr>
            <w:tcW w:type="dxa" w:w="1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ПРООН, ЮНЕП, ОБСЕ, ООН-женщины, бизнес-сообщество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системы животноводства в горных районах Иссык-Кульской и Нарынской областей (пилотный проект) и регулирование нагрузки на пастбища с учетом мер по изменению климата</w:t>
            </w:r>
          </w:p>
        </w:tc>
        <w:tc>
          <w:tcPr>
            <w:tcW w:type="dxa" w:w="2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Продовольственная безопасность. Улучшение состояния пастбищ, введение обязательного чередования пастбищ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НАН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2023-2027 годы</w:t>
            </w:r>
          </w:p>
        </w:tc>
        <w:tc>
          <w:tcPr>
            <w:tcW w:type="dxa" w:w="1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доноров, ЗКФ, ВПП ООН</w:t>
            </w:r>
          </w:p>
        </w:tc>
        <w:tc>
          <w:tcPr>
            <w:tcW w:type="dxa" w:w="1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ОМСУ, ассоциации животноводов, фермерские хозяйства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органических аймаков, маркетинга, цепочек добавленной стоимости и систем управления качества продукции горных районов, расширение тепличных хозяйств и других мер по сохранению урожая</w:t>
            </w:r>
          </w:p>
        </w:tc>
        <w:tc>
          <w:tcPr>
            <w:tcW w:type="dxa" w:w="2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Специализация аймаков по органическим продуктам.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национального реестра (лэйбла). Рост доходов, экспортного потенциала и инноваций. Снижение потерь урожая от влияния ЧС и изменения климата за счет создания теплиц и др.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МЗ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2023-2027 годы</w:t>
            </w:r>
          </w:p>
        </w:tc>
        <w:tc>
          <w:tcPr>
            <w:tcW w:type="dxa" w:w="1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доноров, ПМГ ГЭФ, ПРООН, ФАО</w:t>
            </w:r>
          </w:p>
        </w:tc>
        <w:tc>
          <w:tcPr>
            <w:tcW w:type="dxa" w:w="1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ПМГ ГЭФ, ОБСЕ, ПРООН, Секретариат горного партнерства, ФАО, Федерация органического движения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BIO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KG, ОФ "Биосервис" и другие партнеры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нагрузки на леса и пастбища за счет агролесоводства и посадки зеленых насаждений</w:t>
            </w:r>
          </w:p>
        </w:tc>
        <w:tc>
          <w:tcPr>
            <w:tcW w:type="dxa" w:w="2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Проведено озеленение и противоэрозионные посадки зеленых насаждений (650 га/350 тыс. саж. в год)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МЧС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2023-2027 годы</w:t>
            </w:r>
          </w:p>
        </w:tc>
        <w:tc>
          <w:tcPr>
            <w:tcW w:type="dxa" w:w="1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  <w:tc>
          <w:tcPr>
            <w:tcW w:type="dxa" w:w="1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Органы местного самоуправления, ассоциации земле- и лесопользователей, ОБСЕ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экологического туризма и туризма на основе сообществ в горной местности</w:t>
            </w:r>
          </w:p>
        </w:tc>
        <w:tc>
          <w:tcPr>
            <w:tcW w:type="dxa" w:w="2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Популяризация экотуризма и производство горных продуктов. Рост доходов общин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МПРЭТН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2023-2027 годы</w:t>
            </w:r>
          </w:p>
        </w:tc>
        <w:tc>
          <w:tcPr>
            <w:tcW w:type="dxa" w:w="1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доноров, ВБ</w:t>
            </w:r>
          </w:p>
        </w:tc>
        <w:tc>
          <w:tcPr>
            <w:tcW w:type="dxa" w:w="1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Организации на основе общин, ВБ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Продвижение и внедрение принципов зеленой экономики в Кыргызской Республике</w:t>
            </w:r>
          </w:p>
        </w:tc>
        <w:tc>
          <w:tcPr>
            <w:tcW w:type="dxa" w:w="2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Разработка, утверждение и реализация новой программы развития зеленой экономики в Кыргызской Республике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МТК, МЭ, МПРЭТН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2023-2027 годы</w:t>
            </w:r>
          </w:p>
        </w:tc>
        <w:tc>
          <w:tcPr>
            <w:tcW w:type="dxa" w:w="1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  <w:tc>
          <w:tcPr>
            <w:tcW w:type="dxa" w:w="1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Бизнес-сообщество, некоммерческие организации, ОБСЕ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3. Сохранение уязвимых и уникальных горных экосистем и видов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Обновление Красной книги Кыргызской Республики от 2006 года. Развитие цифровых платформ с актуальными и открытыми экологическими данными</w:t>
            </w:r>
          </w:p>
        </w:tc>
        <w:tc>
          <w:tcPr>
            <w:tcW w:type="dxa" w:w="2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Полевые работы, учет и новые данные о состоянии уязвимых и уникальных видов флоры и фауны. Цифровизация и открытые экологические данные. Планы сохранения видов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НАН, МСХ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2023-2027 годы</w:t>
            </w:r>
          </w:p>
        </w:tc>
        <w:tc>
          <w:tcPr>
            <w:tcW w:type="dxa" w:w="1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ПРООН, ЮНЕП, ГЭФ</w:t>
            </w:r>
          </w:p>
        </w:tc>
        <w:tc>
          <w:tcPr>
            <w:tcW w:type="dxa" w:w="1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Некоммерческие организации, МСОП, GSLEP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гражданского общества при оценке экологических угроз и эконарушений, принятии мер</w:t>
            </w:r>
          </w:p>
        </w:tc>
        <w:tc>
          <w:tcPr>
            <w:tcW w:type="dxa" w:w="2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Учет общественных эко-карт рисков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2023-2027 годы</w:t>
            </w:r>
          </w:p>
        </w:tc>
        <w:tc>
          <w:tcPr>
            <w:tcW w:type="dxa" w:w="1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и местный бюджеты, средства доноров</w:t>
            </w:r>
          </w:p>
        </w:tc>
        <w:tc>
          <w:tcPr>
            <w:tcW w:type="dxa" w:w="1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Некоммерческие организации, MAP.KG, ЕСОМАР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Обновление планов управления. Усиление научной базы, мониторинга и технического потенциала сети действующих ООПТ</w:t>
            </w:r>
          </w:p>
        </w:tc>
        <w:tc>
          <w:tcPr>
            <w:tcW w:type="dxa" w:w="2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Уточнение границ ООПТ и их открытые карты-схемы. Научная основа, SMART мониторинг и патрули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НАН, МПРЭТН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2023-2027 годы</w:t>
            </w:r>
          </w:p>
        </w:tc>
        <w:tc>
          <w:tcPr>
            <w:tcW w:type="dxa" w:w="1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  <w:tc>
          <w:tcPr>
            <w:tcW w:type="dxa" w:w="1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Некоммерческие организации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новых ООПТ, расширение зон покрытия и типологии, в том числе по ключевым районам биоразнообразия</w:t>
            </w:r>
          </w:p>
        </w:tc>
        <w:tc>
          <w:tcPr>
            <w:tcW w:type="dxa" w:w="2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Расширение площади и зон покрытия ООПТ согласно глобальным целям 2030-2050 годов. Новые типы (геопарки, др.)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Национальная комиссия по делам ЮНЕСКО (по согласованию)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2023-2027 годы</w:t>
            </w:r>
          </w:p>
        </w:tc>
        <w:tc>
          <w:tcPr>
            <w:tcW w:type="dxa" w:w="1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доноров, CEPF, ГЭФ, ПРООН, ЮНЕСКО</w:t>
            </w:r>
          </w:p>
        </w:tc>
        <w:tc>
          <w:tcPr>
            <w:tcW w:type="dxa" w:w="1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Некоммерческие организации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номинаций для включения в Список объектов всемирного наследия ЮНЕСКО</w:t>
            </w:r>
          </w:p>
        </w:tc>
        <w:tc>
          <w:tcPr>
            <w:tcW w:type="dxa" w:w="2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природный парк "Хан-Тенгри", Государственный природный парк "Саймалуу-Таш" и др. включены в Список объектов всемирного наследия ЮНЕСКО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Национальная комиссия по делам ЮНЕСКО (по согласованию)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2023-2027 годы</w:t>
            </w:r>
          </w:p>
        </w:tc>
        <w:tc>
          <w:tcPr>
            <w:tcW w:type="dxa" w:w="1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ЮНЕСКО, ПРООН</w:t>
            </w:r>
          </w:p>
        </w:tc>
        <w:tc>
          <w:tcPr>
            <w:tcW w:type="dxa" w:w="1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ЦАИИЗ, Кластерное Бюро ЮНЕСКО в Алматы, некоммерческие организации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природоохранных подходов и координация устойчивого природопользования за пределами ООПТ.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Стратегическая экологическая оценка (СЭО) для мега-проектов развития горных районов</w:t>
            </w:r>
          </w:p>
        </w:tc>
        <w:tc>
          <w:tcPr>
            <w:tcW w:type="dxa" w:w="2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Вовлечение охотничьих и лесных хозяйств, горных и туристических компаний в природоохранную деятельность. СЭО для крупной инфраструктуры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МСХ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2023-2027 годы</w:t>
            </w:r>
          </w:p>
        </w:tc>
        <w:tc>
          <w:tcPr>
            <w:tcW w:type="dxa" w:w="1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  <w:tc>
          <w:tcPr>
            <w:tcW w:type="dxa" w:w="1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Некоммерческие организации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Сохранение экосистемы биосферной территории "Иссык-Куль", включая горные районы, в контексте устойчивого развития туризма, рыбного хозяйства и других видов хозяйственной деятельности</w:t>
            </w:r>
          </w:p>
        </w:tc>
        <w:tc>
          <w:tcPr>
            <w:tcW w:type="dxa" w:w="2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Оценка риска загрязнения и истощения водных и горных экосистем. План действий, мониторинг и меры восстановления. Регулирование туризма с учетом экологической емкости и особенностей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МЭК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2023-2027 годы</w:t>
            </w:r>
          </w:p>
        </w:tc>
        <w:tc>
          <w:tcPr>
            <w:tcW w:type="dxa" w:w="1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  <w:tc>
          <w:tcPr>
            <w:tcW w:type="dxa" w:w="1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рыбного хозяйства МСХ, МПРЭТН, ОБСЕ (через Орхус Центры)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политики и системы управления лесной отрасли</w:t>
            </w:r>
          </w:p>
        </w:tc>
        <w:tc>
          <w:tcPr>
            <w:tcW w:type="dxa" w:w="2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действий по реализации Концепции развития лесной отрасли Кыргызской Республики до 2040 года. Снижение нагрузки (выпас, вырубка, сбор орехов, др.) на леса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2023-2027 годы</w:t>
            </w:r>
          </w:p>
        </w:tc>
        <w:tc>
          <w:tcPr>
            <w:tcW w:type="dxa" w:w="1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  <w:tc>
          <w:tcPr>
            <w:tcW w:type="dxa" w:w="1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GIZ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Восстановление лесов и внедрение мер снижения эрозии земель и риска чрезвычайных ситуаций в рамках Боннского вызова и Сендайской рамочной программы по снижению риска бедствий на 2015-2030 годы</w:t>
            </w:r>
          </w:p>
        </w:tc>
        <w:tc>
          <w:tcPr>
            <w:tcW w:type="dxa" w:w="2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Восстановление 23 тыс. га лесов и 300 тыс. га деградированных ландшафтов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МЧС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2023-2027 годы</w:t>
            </w:r>
          </w:p>
        </w:tc>
        <w:tc>
          <w:tcPr>
            <w:tcW w:type="dxa" w:w="1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ВПП, ВБ</w:t>
            </w:r>
          </w:p>
        </w:tc>
        <w:tc>
          <w:tcPr>
            <w:tcW w:type="dxa" w:w="1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Доноры, ВПП ООН через поддержку проектов в сельских общинах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Сохранение горных озер, водно-болотных угодий и других ключевых мест обитаний, находящихся под угрозой</w:t>
            </w:r>
          </w:p>
        </w:tc>
        <w:tc>
          <w:tcPr>
            <w:tcW w:type="dxa" w:w="2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Карты и учет озер, планы охраны редких видов и мониторинг. Меры адаптации по климату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НАН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2024-2027 годы</w:t>
            </w:r>
          </w:p>
        </w:tc>
        <w:tc>
          <w:tcPr>
            <w:tcW w:type="dxa" w:w="1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ЮНЕП, ПМГ ГЭФ, ПРООН</w:t>
            </w:r>
          </w:p>
        </w:tc>
        <w:tc>
          <w:tcPr>
            <w:tcW w:type="dxa" w:w="1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ПМГ ГЭФ, GMC, MSF, Ветлендс Интернэшнл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концепции "Азиатский горный сад", развитие плантаций и микро-заказников для in-situ и ex-situ (природных парков, природных заповедников и зоопарков, криобанков) сохранения растений</w:t>
            </w:r>
          </w:p>
        </w:tc>
        <w:tc>
          <w:tcPr>
            <w:tcW w:type="dxa" w:w="2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Восстановление и облагораживание ботанического сада г.Бишкек. Создание ботанического сада в г.Нарын. Сеть микрозаказников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МПЭРТН, НАН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2024-2027 годы</w:t>
            </w:r>
          </w:p>
        </w:tc>
        <w:tc>
          <w:tcPr>
            <w:tcW w:type="dxa" w:w="1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  <w:tc>
          <w:tcPr>
            <w:tcW w:type="dxa" w:w="1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ОО "Общество почвоведов КР", Инициатива "Арча" и другие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технического и организационного потенциала по выполнению Нагойского протокола о генетических ресурсах КБР</w:t>
            </w:r>
          </w:p>
        </w:tc>
        <w:tc>
          <w:tcPr>
            <w:tcW w:type="dxa" w:w="2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Оценка использования лекарственных и других видов растений в медицине и другие. Внедрение механизма разделения выгод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НАН, МПРЭТН, МСХ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2023-2027 годы</w:t>
            </w:r>
          </w:p>
        </w:tc>
        <w:tc>
          <w:tcPr>
            <w:tcW w:type="dxa" w:w="1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ПРООН, средства доноров</w:t>
            </w:r>
          </w:p>
        </w:tc>
        <w:tc>
          <w:tcPr>
            <w:tcW w:type="dxa" w:w="1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ПРООН, некоммерческие организации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национального механизма биобезопасности и улучшение мер и практики семеноводства для снижения риска чужеродных видов и ГМО (Картахенский протокол к Конвенции по биологическому разнообразию)</w:t>
            </w:r>
          </w:p>
        </w:tc>
        <w:tc>
          <w:tcPr>
            <w:tcW w:type="dxa" w:w="2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Нормативная база по биобезопасности по Картахенскому протоколу. Технический потенциал (лаборатория). Снижение рисков для здоровья населения и природных экосистем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МПРЭТН, МЗ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2023-2027 годы</w:t>
            </w:r>
          </w:p>
        </w:tc>
        <w:tc>
          <w:tcPr>
            <w:tcW w:type="dxa" w:w="1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доноров, ГЭФ</w:t>
            </w:r>
          </w:p>
        </w:tc>
        <w:tc>
          <w:tcPr>
            <w:tcW w:type="dxa" w:w="1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ФАО, IFAD, "Дыйкан Мурас" (сеть семеноводов женщин)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4. Снижение риска стихийных бедствий и смягчение последствий изменения климата в горной зоне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рисков для населенных пунктов и инфраструктуры, связанных со стихийными бедствиями и изменением климата</w:t>
            </w:r>
          </w:p>
        </w:tc>
        <w:tc>
          <w:tcPr>
            <w:tcW w:type="dxa" w:w="2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Мониторинг ледниковых и высокогорных озер, селеопасных бассейнов. Создание системы прогнозирования, раннего оповещения, разработка карты ЧС и климатических рисков. Повышение осведомленности и готовности населения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МЭК, МОН, МЧС, НАН (по согласованию)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2023-2027 годы</w:t>
            </w:r>
          </w:p>
        </w:tc>
        <w:tc>
          <w:tcPr>
            <w:tcW w:type="dxa" w:w="1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адаптационный фонд, ГЭФ, CAFEWS, ВБ, ПРООН</w:t>
            </w:r>
          </w:p>
        </w:tc>
        <w:tc>
          <w:tcPr>
            <w:tcW w:type="dxa" w:w="1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ЮНЕСКО, ЦАИИЗ, ОБСЕ, университет Фрибурга, Цюриха, ПРООН, ВМО, некоммерческие организации, местные государственные администрации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сети мониторинга снежников, лавин, ледников, погребенных льдов и вечной мерзлоты (криосферы), а также высокогорных и дистанционных метеорологических наблюдений</w:t>
            </w:r>
          </w:p>
        </w:tc>
        <w:tc>
          <w:tcPr>
            <w:tcW w:type="dxa" w:w="2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Надежные прогнозы водности для орошения и энергетики. Снижение рисков для инфраструктуры (стратегические дороги). Оценка ледников и снежников. Вклад в международный обмен данными по криосфере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МПРЭТН, НАН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2023-2027 годы</w:t>
            </w:r>
          </w:p>
        </w:tc>
        <w:tc>
          <w:tcPr>
            <w:tcW w:type="dxa" w:w="1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доноров, GIZ, CROM-ADAPT</w:t>
            </w:r>
          </w:p>
        </w:tc>
        <w:tc>
          <w:tcPr>
            <w:tcW w:type="dxa" w:w="1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ЦААИЗ, ВМО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Адаптация к изменению климата и снижение экономических и производственных потерь от неблагоприятных погодных условий в уязвимых горных сообществах</w:t>
            </w:r>
          </w:p>
        </w:tc>
        <w:tc>
          <w:tcPr>
            <w:tcW w:type="dxa" w:w="2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Национальный план действий адаптации (НПДА) к изменению климата по отраслям и регионам. Целевые меры поддержки, страхование и микрофинансирование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МПЭРТН, МСХ, МЧС, МОН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2023-2027 годы</w:t>
            </w:r>
          </w:p>
        </w:tc>
        <w:tc>
          <w:tcPr>
            <w:tcW w:type="dxa" w:w="1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доноров, ЗКФ, ВПП ООН, SDC, ВБ, ПРООН</w:t>
            </w:r>
          </w:p>
        </w:tc>
        <w:tc>
          <w:tcPr>
            <w:tcW w:type="dxa" w:w="1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Некоммерческие организации, местные государственные администрации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Продвижение низкоуглеродной экономики на основе долгосрочной стратегии низкоуглеродного развития до 2050 года, гидроэнергетики и поглотительной способности углерода лесами и пастбищами</w:t>
            </w:r>
          </w:p>
        </w:tc>
        <w:tc>
          <w:tcPr>
            <w:tcW w:type="dxa" w:w="2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Стратегия развития с низкими выбросами. Увеличение потенциала гидроэнергетики и поглощения почв и лесов. Отслеживание (трекинг) выполнения мер и обязательств по климату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МСХ, МПРЭТН, НАН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2023-2027 годы</w:t>
            </w:r>
          </w:p>
        </w:tc>
        <w:tc>
          <w:tcPr>
            <w:tcW w:type="dxa" w:w="1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ЗКФ, двусторонние и многосторонние договоры, ПРООН, ЮНЕП, ICAT, РЭЦЦА, средства доноров</w:t>
            </w:r>
          </w:p>
        </w:tc>
        <w:tc>
          <w:tcPr>
            <w:tcW w:type="dxa" w:w="1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Международные организации и некоммерческие организации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более подробная информация о подготовке и проведении Глобального горного саммита "Би</w:t>
      </w:r>
      <w:r>
        <w:rPr>
          <w:rFonts w:ascii="Arial" w:cs="Arial" w:eastAsia="Arial" w:hAnsi="Arial"/>
          <w:sz w:val="24"/>
          <w:szCs w:val="24"/>
        </w:rPr>
        <w:t xml:space="preserve">шкек+25" изложена в Концепции;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(**) планы и проекты регионального масштаба, включая развитие транспортных и экономических коридоров, систем предсказания и оповещения об опасной погоде, селях и наводнениях, модернизацию гидрометеорологических сетей и мониторинга окружающей среды, др.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Ежегодный объем выполнения мероприятий Дорожной карты оценивается в интервале 50-100 млн. долл. США в год, включая подтвержденные и перспективные средства доноров, частного сектора, республиканского бюджета, государственно-частного партнерства, и нематериальный вклад госорганов и общественных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(***) с учетом развития "зеленых" городов Программы развития "зеленой" экономики в Кыргызской Республике на 2019-2023 годы (</w:t>
      </w:r>
      <w:r>
        <w:rPr>
          <w:rFonts w:ascii="Arial" w:cs="Arial" w:eastAsia="Arial" w:hAnsi="Arial"/>
          <w:sz w:val="24"/>
          <w:szCs w:val="24"/>
        </w:rPr>
        <w:t xml:space="preserve">https</w:t>
      </w:r>
      <w:r>
        <w:rPr>
          <w:rFonts w:ascii="Arial" w:cs="Arial" w:eastAsia="Arial" w:hAnsi="Arial"/>
          <w:sz w:val="24"/>
          <w:szCs w:val="24"/>
        </w:rPr>
        <w:t xml:space="preserve">://</w:t>
      </w:r>
      <w:r>
        <w:rPr>
          <w:rFonts w:ascii="Arial" w:cs="Arial" w:eastAsia="Arial" w:hAnsi="Arial"/>
          <w:sz w:val="24"/>
          <w:szCs w:val="24"/>
        </w:rPr>
        <w:t xml:space="preserve">mineconom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gov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kg</w:t>
      </w:r>
      <w:r>
        <w:rPr>
          <w:rFonts w:ascii="Arial" w:cs="Arial" w:eastAsia="Arial" w:hAnsi="Arial"/>
          <w:sz w:val="24"/>
          <w:szCs w:val="24"/>
        </w:rPr>
        <w:t xml:space="preserve">/</w:t>
      </w:r>
      <w:r>
        <w:rPr>
          <w:rFonts w:ascii="Arial" w:cs="Arial" w:eastAsia="Arial" w:hAnsi="Arial"/>
          <w:sz w:val="24"/>
          <w:szCs w:val="24"/>
        </w:rPr>
        <w:t xml:space="preserve">ru</w:t>
      </w:r>
      <w:r>
        <w:rPr>
          <w:rFonts w:ascii="Arial" w:cs="Arial" w:eastAsia="Arial" w:hAnsi="Arial"/>
          <w:sz w:val="24"/>
          <w:szCs w:val="24"/>
        </w:rPr>
        <w:t xml:space="preserve">/</w:t>
      </w:r>
      <w:r>
        <w:rPr>
          <w:rFonts w:ascii="Arial" w:cs="Arial" w:eastAsia="Arial" w:hAnsi="Arial"/>
          <w:sz w:val="24"/>
          <w:szCs w:val="24"/>
        </w:rPr>
        <w:t xml:space="preserve">direct</w:t>
      </w:r>
      <w:r>
        <w:rPr>
          <w:rFonts w:ascii="Arial" w:cs="Arial" w:eastAsia="Arial" w:hAnsi="Arial"/>
          <w:sz w:val="24"/>
          <w:szCs w:val="24"/>
        </w:rPr>
        <w:t xml:space="preserve">/302/335).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сокращений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Adaptation at Altitude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Всемирный обзор/база данных примеров и практики адаптации к изменению климата в горных районах;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ADI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Агентство Инициатив Развития;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BIOFIN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Инициатива по финансированию биоразнообразия;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BIO-KG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Федерация органического движения "</w:t>
      </w:r>
      <w:r>
        <w:rPr>
          <w:rFonts w:ascii="Arial" w:cs="Arial" w:eastAsia="Arial" w:hAnsi="Arial"/>
          <w:sz w:val="24"/>
          <w:szCs w:val="24"/>
        </w:rPr>
        <w:t xml:space="preserve">BIO</w:t>
      </w:r>
      <w:r>
        <w:rPr>
          <w:rFonts w:ascii="Arial" w:cs="Arial" w:eastAsia="Arial" w:hAnsi="Arial"/>
          <w:sz w:val="24"/>
          <w:szCs w:val="24"/>
        </w:rPr>
        <w:t xml:space="preserve">-KG";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BRS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Базельская, Роттердамская и Стокгольмская Конвенции;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CAFEWS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Центральноазиатская система оповещения о паводках и селях;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CAMI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Центральноазиатская инициатива по млекопитающим;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CAWEP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Программа по воде и энергии в Центральной Азии;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CAREC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Программа Центральноазиатского регионального экономического сотрудничества;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CASA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Проект передачи электроэнергии в Центральной и Южной Азии;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C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EPF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Фонд защиты экосистем, находящихся в уязвимом состоянии;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CMS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Конвенция по сохранению мигрирующих видов диких животных;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CPF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Механизм углеродного партнерства;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CROM-ADAPT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Швейцарская программа исследования ледников в Центральной Азии;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CS-FOR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Проект "Секвестрация углерода посредством климатических инвестиций в леса и пастбища в Кыргызской Республике";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ECOMAP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Электронная экологическая карта, созданная ОФ "Институт экологических решений";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KYRSEFF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Программа финансирования устойчивой энергии в Кыргызской Республике;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GFC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Зеленый финансовый центр;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GIZ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Германское общество по международному сотрудничеству;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GMC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Центр болот Грайфсвальда;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GSLEP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Глобальная программа по защите снежного барса и экосистем;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HLPF ECOSOC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Политический форум высокого уровня Экономического и социального совета ООН;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ICIMOD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Международный центр комплексного освоения горных районов;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ICAT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Инициатива по обеспечению прозрачности климатических действий;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IKI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Международная климатическая инициатива (климатический фонд) Германии;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MSF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Фонд Майкла Зуккова;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NEXUS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Управление водно-энергетическими и земельными ресурсами;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OECD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Организация экономического сотрудничества и развития;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PRM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Бюро по народонаселению, беженцам и миграции;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Panorama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Платформа для обмена опытом решения экологических проблем;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Resiland CA+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Региональная программа по восстановлению устойчивых ландшафтов в Центральной Азии;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SDC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Швейцарское Управление по развитию и сотрудничеству;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SPECA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Специальная программа ООН для экономик Центральной Азии;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UCA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Университет Центральной Азии;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WOCAT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Всемирный обзор/база данных по устойчивому земледелию;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WWF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Всемирный фонд дикой природы;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АБР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Азиатский банк развития;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АКДН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Организация Ага Хана по развитию;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ОФ "Биосервис"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Консалтинговая компания в Центральной Азии по развитию сельских регионов с фокусом на органический сектор;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Всемирный банк;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ВПП ООН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Всемирная продовольственная программа;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ВМО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Всемирная метеорологическая организация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ГААСЖКХ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архитектуры, строительства, и жилищно-коммунального хозяйства при Кабинете Министров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ГЕО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Горные оценки и исследования в рамках группы глобальных наблюдений;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ГЭФ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Глобальный экологический фонд;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ГМО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Генетически модифицированные организмы и производные генной инженерии;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ЕБРР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Европейский банк реконструкции и развития;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ЕС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Европейский союз;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ЕЭК ООН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Европейская экономическая комиссия ООН;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ЗКФ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Зеленый климатический фонд;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КБР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Конвенция о биологическом разнообразии;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МВФ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Международный валютный фонд;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МГЭИК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Межправительственная группа экспертов по изменению климата;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местная государственная администрация;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МУК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Международный университет Кыргызстана;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МИГ МУК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Международный институт гор при МУК;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МКИСиМП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культуры, информации, спорта и молодежной политики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Международная организация миграции;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МПРЭТН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природных ресурсов, экологии и технического надзора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МСОП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Международный союз охраны природы;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МСХ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сельского хозяйства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МТСОМ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труда, социального обеспечения и миграции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МЧС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чрезвычайных ситуаций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энергетики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экономики и коммерции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Национальное агентство по инвестициям при Президенте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Национальная академия наук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ИУВР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интегрированное управление водными ресурсами;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НСК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статистический комитет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ОБСЕ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Организация по безопасности и сотрудничеству в Европе;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ООПТ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особо охраняемые природные территории;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ПМГ ГЭФ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Программа малых грантов ГЭФ;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Программа развития Организации Объединенных Наций;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РГЦ при МКУР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Региональный горный центр при Межгосударственной комиссии по устойчивому развитию;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РКИК ООН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Рамочная конвенция ООН об изменении климата;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РЦГ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Региональный центр гидрологии;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СМИ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средства массовой информации;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СЭО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стратегическая экологическая оценка;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РЭЦЦА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Региональный экологический центр Центральной Азии;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ФАО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Продовольственная и сельскохозяйственная организация ООН;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ЦАИИЗ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Центрально-Азиатский институт прикладных наук о Земле;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ЦКП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учреждение "Центр культуры и просвещения";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ЦУР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Цели устойчивого развития;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ЦЧССРБ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Центр по чрезвычайным ситуациям и снижению риска стихийных бедствий;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ЮНЕП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Программа ООН по окружающей среде;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ЮНЕСКО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Организация ООН по вопросам образования, науки и культуры.</w:t>
      </w:r>
    </w:p>
    <w:p>
      <w:pPr>
        <w:spacing w:after="12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>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qslz_hcuts5wf1fmsdt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dalil.kg/document/230015398</w:t>
      </w:r>
    </w:hyperlink>
  </w:p>
  <w:p>
    <w:pPr>
      <w:spacing w:after="0" w:before="40"/>
      <w:jc w:val="center"/>
    </w:pPr>
    <w:hyperlink w:history="1" r:id="rId1qbbdmnrkdzieapakmer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ljdezgv_sakpg7-aks5g" Type="http://schemas.openxmlformats.org/officeDocument/2006/relationships/hyperlink" Target="https://dalil.kg/document/230000730" TargetMode="External"/><Relationship Id="rIdmofjmgs5vosiytz_bwqxl" Type="http://schemas.openxmlformats.org/officeDocument/2006/relationships/hyperlink" Target="https://dalil.kg/document/112301#st_13" TargetMode="External"/><Relationship Id="rId-r6-hybp4dqijout0wpxz" Type="http://schemas.openxmlformats.org/officeDocument/2006/relationships/hyperlink" Target="https://dalil.kg/document/112301#st_17" TargetMode="External"/><Relationship Id="rIdxlbtqqqqedlyesnfzzqs-" Type="http://schemas.openxmlformats.org/officeDocument/2006/relationships/hyperlink" Target="https://dalil.kg/document/23001540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qslz_hcuts5wf1fmsdto" Type="http://schemas.openxmlformats.org/officeDocument/2006/relationships/hyperlink" Target="https://dalil.kg/document/230015398" TargetMode="External"/><Relationship Id="rId1qbbdmnrkdzieapakmer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2026-09-28T10:24:14.809Z</dcterms:created>
  <dcterms:modified xsi:type="dcterms:W3CDTF">2026-09-28T10:24:14.809Z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