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Республики» от 8 августа 2011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участникам внешнеэкономической деятельности при осуществлении международных грузовых автомобильных перевозок и обеспечения сохранности автомобильных дорог общего пользования, в соответствии со </w:t>
      </w:r>
      <w:hyperlink w:history="1" r:id="rIdsth01f1uja24zbyqzd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автомобильных дорогах», статьями </w:t>
      </w:r>
      <w:hyperlink w:history="1" r:id="rIdsw4os3bltbs285tzcq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7m8ejigkgcbldozkv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fck5r5wk_u4gdzuc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6hwbmmumakv_wj0gbe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</w:t>
      </w:r>
      <w:hyperlink w:history="1" r:id="rIdr6dscukwd2uyzwcuegw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Республики» от 8 августа 2011 года № 454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17jq1vruxmqwsjkmz_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Максимальных допустимых весогабаритных параметрах</w:t>
        </w:r>
      </w:hyperlink>
      <w:r>
        <w:rPr>
          <w:rFonts w:ascii="Arial" w:cs="Arial" w:eastAsia="Arial" w:hAnsi="Arial"/>
          <w:sz w:val="24"/>
          <w:szCs w:val="24"/>
        </w:rPr>
        <w:t xml:space="preserve"> транспортных средств, установленных для передвижения по автомобильным дорогам общего пользования Кыргызской Республики,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примечания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автотранспортных средств допускается превышение нагрузки на 1 тонну в случае когда ведущие или ведомые оси оснащены двускатными колесами. Группы сближенных осей, имеющие в своем составе оси с односкатными и двускатными колесами, следует рассматривать как группы сближенных осей, имеющие в своем составе оси с односкатными колесами.»;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zb6l57tqtklx9zjv1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пропуск транспортных средств с неделимым грузом, специальных транспортных средств по автомобильным дорогам общего пользования Кыргызской Республики, утвержденном вышеуказанным </w:t>
      </w:r>
      <w:hyperlink w:history="1" r:id="rIdpfoxpmqorthzilsuzv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на официальном языке слова «сборов за пропуск» заменить словами «сборов за проезд»;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Пропуск по автомобильным дорогам общего пользования транспортных средств с неделимым грузом и специальных транспортных средств, весовые параметры которых превышают установленные допустимые их значения, допускаются только при наличии специального и (или) многоразового специального разрешения»;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«Крупногабаритные (негабаритные) и тяжеловесные транспортные средства, предназначенные для перевозки автомобилей, пропускаются по автомобильным дорогам общего пользования при наличии специального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специального разрешения и многоразового специального разрешения, особенности применения многоразового специального разрешения в зависимости от вида специальных транспортных средств утверждаются уполномоченным государственным органом в сфере транспорта и дорог.»;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t1d4aatrfhylg3dmg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5irfrg0qwt01ypz0ug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вреда и ущерба, причиняемых автомобильным дорогам общего пользования специальным транспортным средством,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= 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N,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- размер вреда и ущерба,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размер ставки перегруза за 1 тонну,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B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Ko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Р,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BN - размер базового сбора за проезд по автомобильным дорогам, в зависимости от категории транспортных средств равные: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: B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1,0 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В</w:t>
      </w:r>
      <w:r>
        <w:rPr>
          <w:rFonts w:ascii="Arial" w:cs="Arial" w:eastAsia="Arial" w:hAnsi="Arial"/>
          <w:sz w:val="24"/>
          <w:szCs w:val="24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 = 2,0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: В</w:t>
      </w:r>
      <w:r>
        <w:rPr>
          <w:rFonts w:ascii="Arial" w:cs="Arial" w:eastAsia="Arial" w:hAnsi="Arial"/>
          <w:sz w:val="24"/>
          <w:szCs w:val="24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 = 2,0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коэффициент приведения осевых нагрузок, в зависимости от категории транспортных средств равные: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Ko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0,5;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Ko</w:t>
      </w:r>
      <w:r>
        <w:rPr>
          <w:rFonts w:ascii="Arial" w:cs="Arial" w:eastAsia="Arial" w:hAnsi="Arial"/>
          <w:sz w:val="24"/>
          <w:szCs w:val="24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 = 3,0;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Ko</w:t>
      </w:r>
      <w:r>
        <w:rPr>
          <w:rFonts w:ascii="Arial" w:cs="Arial" w:eastAsia="Arial" w:hAnsi="Arial"/>
          <w:sz w:val="24"/>
          <w:szCs w:val="24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 = 7,56;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коэффициент, учитывающий размер вреда автомобильной дороге при превышении допустимой массы транспортного средства, равный 6,9;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величина превышения фактической общей массы транспортного средства над установленной допустимой нормой общей массы для проезда по автомобильным дорогам общего пользования в зависимости от количества осей, тонн;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дней, приравненных сроку действия многоразового разрешения (срок действия устанавливается по количеству дней, указанных в заявлении заявителя).»;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Ставка перегруза на 1 км проезда установлена в размере 70 сомов за 1 тонну, в том числе применяется также для транспортных средств международных автомобильных перевозок при получении специального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специального разрешения на перевозку по республике неделимых грузов грузовыми автомобилями, автопоездами, а также седельными тягачами, имеющими три и более осей и низкорамный полуприцеп (трал), имеющий четыре и более осей и на каждой оси по четыре и более колес, ставка перегруза устанавливается 50 сомов за 1 тонну на 1 км проезда.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перегруза подлежит ежегодной корректировке на уровень фактической инфляции за предыдущий год.».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-rht_78fbzsrxkvb7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dalil.kg/document/230016971</w:t>
      </w:r>
    </w:hyperlink>
  </w:p>
  <w:p>
    <w:pPr>
      <w:spacing w:after="0" w:before="40"/>
      <w:jc w:val="center"/>
    </w:pPr>
    <w:hyperlink w:history="1" r:id="rIdo4yuyf6_kurntgzq-xy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h01f1uja24zbyqzd_jj" Type="http://schemas.openxmlformats.org/officeDocument/2006/relationships/hyperlink" Target="https://dalil.kg/document/112594#st_29" TargetMode="External"/><Relationship Id="rIdsw4os3bltbs285tzcqzpr" Type="http://schemas.openxmlformats.org/officeDocument/2006/relationships/hyperlink" Target="https://dalil.kg/document/112301#st_13" TargetMode="External"/><Relationship Id="rIdcg7m8ejigkgcbldozkvs6" Type="http://schemas.openxmlformats.org/officeDocument/2006/relationships/hyperlink" Target="https://dalil.kg/document/112301#st_17" TargetMode="External"/><Relationship Id="rIdsnfck5r5wk_u4gdzucmoj" Type="http://schemas.openxmlformats.org/officeDocument/2006/relationships/hyperlink" Target="https://dalil.kg/document/92756" TargetMode="External"/><Relationship Id="rIda6hwbmmumakv_wj0gbeve" Type="http://schemas.openxmlformats.org/officeDocument/2006/relationships/hyperlink" Target="https://dalil.kg/document/230016369" TargetMode="External"/><Relationship Id="rIdr6dscukwd2uyzwcuegwma" Type="http://schemas.openxmlformats.org/officeDocument/2006/relationships/hyperlink" Target="https://dalil.kg/document/230016732" TargetMode="External"/><Relationship Id="rIdc17jq1vruxmqwsjkmz_us" Type="http://schemas.openxmlformats.org/officeDocument/2006/relationships/hyperlink" Target="https://dalil.kg/document/92756#pr1" TargetMode="External"/><Relationship Id="rIdzzb6l57tqtklx9zjv1yur" Type="http://schemas.openxmlformats.org/officeDocument/2006/relationships/hyperlink" Target="https://dalil.kg/document/230016732" TargetMode="External"/><Relationship Id="rIdpfoxpmqorthzilsuzvshn" Type="http://schemas.openxmlformats.org/officeDocument/2006/relationships/hyperlink" Target="https://dalil.kg/document/92756" TargetMode="External"/><Relationship Id="rIdat1d4aatrfhylg3dmgdkt" Type="http://schemas.openxmlformats.org/officeDocument/2006/relationships/hyperlink" Target="https://dalil.kg/document/230016454" TargetMode="External"/><Relationship Id="rId5irfrg0qwt01ypz0ugicd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-rht_78fbzsrxkvb7q3" Type="http://schemas.openxmlformats.org/officeDocument/2006/relationships/hyperlink" Target="https://dalil.kg/document/230016971" TargetMode="External"/><Relationship Id="rIdo4yuyf6_kurntgzq-xy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2026-09-24T20:08:04.435Z</dcterms:created>
  <dcterms:modified xsi:type="dcterms:W3CDTF">2026-09-24T20:08:04.435Z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