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i/>
          <w:iCs/>
          <w:sz w:val="24"/>
          <w:szCs w:val="24"/>
        </w:rPr>
        <w:t xml:space="preserve">(к </w:t>
      </w:r>
      <w:hyperlink w:history="1" r:id="rId1yui3ho_ng2i6aqffml5r">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ноября 2024 года № 665)</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порядке перевода (трансформации) земельных участков</w:t>
      </w:r>
    </w:p>
    <w:p>
      <w:pPr>
        <w:spacing w:after="120"/>
        <w:jc w:val="center"/>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w:t>
      </w:r>
      <w:hyperlink w:history="1" r:id="rIdtil0dtilmd68otdcksz83">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 </w:t>
      </w:r>
      <w:hyperlink w:history="1" r:id="rIdtf4q-i1abe3bdhws-jzul">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Порядок подготовки документов для перевода (трансформации) земельных участков</w:t>
      </w:r>
    </w:p>
    <w:p>
      <w:pPr>
        <w:spacing w:after="120"/>
        <w:ind w:firstLine="567"/>
        <w:jc w:val="both"/>
      </w:pPr>
      <w:r>
        <w:rPr>
          <w:rFonts w:ascii="Arial" w:cs="Arial" w:eastAsia="Arial" w:hAnsi="Arial"/>
          <w:sz w:val="24"/>
          <w:szCs w:val="24"/>
        </w:rPr>
        <w:t xml:space="preserve">1. Перевод (трансформация) земельных участков производится уполномоченным органом в пределах его компетенции, в порядке, установленном земельным законодательством и настоящим Положением о порядке перевода (трансформации) земельных участков (далее - Положение) в случае изменения основного целевого назначения земель.</w:t>
      </w:r>
    </w:p>
    <w:p>
      <w:pPr>
        <w:spacing w:after="120"/>
        <w:ind w:firstLine="567"/>
        <w:jc w:val="both"/>
      </w:pPr>
      <w:r>
        <w:rPr>
          <w:rFonts w:ascii="Arial" w:cs="Arial" w:eastAsia="Arial" w:hAnsi="Arial"/>
          <w:sz w:val="24"/>
          <w:szCs w:val="24"/>
        </w:rPr>
        <w:t xml:space="preserve">2. Основанием для проведения работ по переводу (трансформации) земельных участков является заявление физических или юридических лиц, ходатайство органов местного самоуправления, государственных органов о переводе (трансформации) земельных участков, подаваемое в местную государственную администрацию и исполнительный орган местного самоуправления городов областного, республиканского значения по месту расположения земельного участка как в явочном порядке, так и в электронном формате посредством Государственного портала электронных услуг.</w:t>
      </w:r>
    </w:p>
    <w:p>
      <w:pPr>
        <w:spacing w:after="120"/>
        <w:ind w:firstLine="567"/>
        <w:jc w:val="both"/>
      </w:pPr>
      <w:r>
        <w:rPr>
          <w:rFonts w:ascii="Arial" w:cs="Arial" w:eastAsia="Arial" w:hAnsi="Arial"/>
          <w:sz w:val="24"/>
          <w:szCs w:val="24"/>
        </w:rPr>
        <w:t xml:space="preserve">Инициатором для перевода (трансформации) земельных участков сельскохозяйственного назначения под индивидуальное жилищное строительство выступает в установленном порядке исполнительный орган местного самоуправления.</w:t>
      </w:r>
    </w:p>
    <w:p>
      <w:pPr>
        <w:spacing w:after="120"/>
        <w:ind w:firstLine="567"/>
        <w:jc w:val="both"/>
      </w:pPr>
      <w:r>
        <w:rPr>
          <w:rFonts w:ascii="Arial" w:cs="Arial" w:eastAsia="Arial" w:hAnsi="Arial"/>
          <w:sz w:val="24"/>
          <w:szCs w:val="24"/>
        </w:rPr>
        <w:t xml:space="preserve">Инициатором перевода (трансформации) земельных участков в категорию "Земли запаса" и из категории "Земли запаса" выступает в установленном порядке местная государственная администрация или исполнительный орган местного самоуправления городов областного и республиканского значения.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et24y95nuq5mhux49ree">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 Исполнительный орган местного самоуправления или местная государственная администрация инициирует вопрос о переводе (трансформации) земельных участков, находящихся в государственной или муниципальной собственности, из одной категории в другую без согласия пользователей земельных участков (без изъятия земельных участков) при:</w:t>
      </w:r>
    </w:p>
    <w:p>
      <w:pPr>
        <w:spacing w:after="120"/>
        <w:ind w:firstLine="567"/>
        <w:jc w:val="both"/>
      </w:pPr>
      <w:r>
        <w:rPr>
          <w:rFonts w:ascii="Arial" w:cs="Arial" w:eastAsia="Arial" w:hAnsi="Arial"/>
          <w:sz w:val="24"/>
          <w:szCs w:val="24"/>
        </w:rPr>
        <w:t xml:space="preserve">- создании особо охраняемых природных территорий;</w:t>
      </w:r>
    </w:p>
    <w:p>
      <w:pPr>
        <w:spacing w:after="120"/>
        <w:ind w:firstLine="567"/>
        <w:jc w:val="both"/>
      </w:pPr>
      <w:r>
        <w:rPr>
          <w:rFonts w:ascii="Arial" w:cs="Arial" w:eastAsia="Arial" w:hAnsi="Arial"/>
          <w:sz w:val="24"/>
          <w:szCs w:val="24"/>
        </w:rPr>
        <w:t xml:space="preserve">- установлении или изменении границ населенных пунктов.</w:t>
      </w:r>
    </w:p>
    <w:p>
      <w:pPr>
        <w:spacing w:after="120"/>
        <w:ind w:firstLine="567"/>
        <w:jc w:val="both"/>
      </w:pPr>
      <w:r>
        <w:rPr>
          <w:rFonts w:ascii="Arial" w:cs="Arial" w:eastAsia="Arial" w:hAnsi="Arial"/>
          <w:sz w:val="24"/>
          <w:szCs w:val="24"/>
        </w:rPr>
        <w:t xml:space="preserve">4. В заявлении указываются:</w:t>
      </w:r>
    </w:p>
    <w:p>
      <w:pPr>
        <w:spacing w:after="120"/>
        <w:ind w:firstLine="567"/>
        <w:jc w:val="both"/>
      </w:pPr>
      <w:r>
        <w:rPr>
          <w:rFonts w:ascii="Arial" w:cs="Arial" w:eastAsia="Arial" w:hAnsi="Arial"/>
          <w:sz w:val="24"/>
          <w:szCs w:val="24"/>
        </w:rPr>
        <w:t xml:space="preserve">- сведения о праве на земельный участок;</w:t>
      </w:r>
    </w:p>
    <w:p>
      <w:pPr>
        <w:spacing w:after="120"/>
        <w:ind w:firstLine="567"/>
        <w:jc w:val="both"/>
      </w:pPr>
      <w:r>
        <w:rPr>
          <w:rFonts w:ascii="Arial" w:cs="Arial" w:eastAsia="Arial" w:hAnsi="Arial"/>
          <w:sz w:val="24"/>
          <w:szCs w:val="24"/>
        </w:rPr>
        <w:t xml:space="preserve">- категория и размер переводимого (трансформируемого) земельного участка;</w:t>
      </w:r>
    </w:p>
    <w:p>
      <w:pPr>
        <w:spacing w:after="120"/>
        <w:ind w:firstLine="567"/>
        <w:jc w:val="both"/>
      </w:pPr>
      <w:r>
        <w:rPr>
          <w:rFonts w:ascii="Arial" w:cs="Arial" w:eastAsia="Arial" w:hAnsi="Arial"/>
          <w:sz w:val="24"/>
          <w:szCs w:val="24"/>
        </w:rPr>
        <w:t xml:space="preserve">- обоснование перевода (трансформации) земельного участка.</w:t>
      </w:r>
    </w:p>
    <w:p>
      <w:pPr>
        <w:spacing w:after="120"/>
        <w:ind w:firstLine="567"/>
        <w:jc w:val="both"/>
      </w:pPr>
      <w:r>
        <w:rPr>
          <w:rFonts w:ascii="Arial" w:cs="Arial" w:eastAsia="Arial" w:hAnsi="Arial"/>
          <w:sz w:val="24"/>
          <w:szCs w:val="24"/>
        </w:rPr>
        <w:t xml:space="preserve">5. К заявлению прилагаются:</w:t>
      </w:r>
    </w:p>
    <w:p>
      <w:pPr>
        <w:spacing w:after="120"/>
        <w:ind w:firstLine="567"/>
        <w:jc w:val="both"/>
      </w:pPr>
      <w:r>
        <w:rPr>
          <w:rFonts w:ascii="Arial" w:cs="Arial" w:eastAsia="Arial" w:hAnsi="Arial"/>
          <w:sz w:val="24"/>
          <w:szCs w:val="24"/>
        </w:rPr>
        <w:t xml:space="preserve">- копии документов, удостоверяющих личность заявителя - физического лица, либо копия свидетельства о регистрации юридического лица, учредительные документы юридического лица;</w:t>
      </w:r>
    </w:p>
    <w:p>
      <w:pPr>
        <w:spacing w:after="120"/>
        <w:ind w:firstLine="567"/>
        <w:jc w:val="both"/>
      </w:pPr>
      <w:r>
        <w:rPr>
          <w:rFonts w:ascii="Arial" w:cs="Arial" w:eastAsia="Arial" w:hAnsi="Arial"/>
          <w:sz w:val="24"/>
          <w:szCs w:val="24"/>
        </w:rPr>
        <w:t xml:space="preserve">- копии правоустанавливающих и правоудостоверяющих документов на земельный участок;</w:t>
      </w:r>
    </w:p>
    <w:p>
      <w:pPr>
        <w:spacing w:after="120"/>
        <w:ind w:firstLine="567"/>
        <w:jc w:val="both"/>
      </w:pPr>
      <w:r>
        <w:rPr>
          <w:rFonts w:ascii="Arial" w:cs="Arial" w:eastAsia="Arial" w:hAnsi="Arial"/>
          <w:sz w:val="24"/>
          <w:szCs w:val="24"/>
        </w:rPr>
        <w:t xml:space="preserve">– эскизный проект земельного участка, в котором указываются границы земельного участка, размещение проектируемых объектов, подъездные пути, инженерные коммуникации и охранные зоны, разработанный уполномоченным органом либо предприятием, организацией или учреждением, имеющими соответствующие лицензии на право разработки градостроительной документации, с технико-экономическим обоснованием, за исключением перевода (трансформации) менее ценных сельскохозяйственных угодий в более ценные виды угодий, а также равноценных видов сельскохозяйственных угодий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Технико-экономическое обоснование разрабатывается с учетом следующих принципов: обоснование проблемы и формулирование цели проекта, учет технических, экономических, социальных и экологических аспектов, анализ доступных ресурсов и источников финансирования, оценка альтернативных решений, прогноз ожидаемых результатов и эффективности проекта, учет возможных рисков и устойчивости реализации проекта.</w:t>
      </w:r>
    </w:p>
    <w:p>
      <w:pPr>
        <w:spacing w:after="120"/>
        <w:ind w:firstLine="567"/>
        <w:jc w:val="both"/>
      </w:pPr>
      <w:r>
        <w:rPr>
          <w:rFonts w:ascii="Arial" w:cs="Arial" w:eastAsia="Arial" w:hAnsi="Arial"/>
          <w:sz w:val="24"/>
          <w:szCs w:val="24"/>
        </w:rPr>
        <w:t xml:space="preserve">Документы, предусмотренные настоящим пунктом, могут быть предоставлены в электронном формате посредством Государственного портала электронных услуг. В случае невозможности получения документов, предусмотренных настоящим пунктом, через Государственный портал электронных услуг, данные документы предоставляются в бумажном формате.</w:t>
      </w:r>
    </w:p>
    <w:p>
      <w:pPr>
        <w:spacing w:after="120"/>
        <w:ind w:firstLine="567"/>
        <w:jc w:val="both"/>
      </w:pPr>
      <w:r>
        <w:rPr>
          <w:rFonts w:ascii="Arial" w:cs="Arial" w:eastAsia="Arial" w:hAnsi="Arial"/>
          <w:sz w:val="24"/>
          <w:szCs w:val="24"/>
        </w:rPr>
        <w:t xml:space="preserve">При инициировании вопроса о расширении территорий населенных пунктов и образовании нового населенного пункта, инициатор - исполнительный орган местного самоуправления также прилагает копию программы по обеспечению граждан Кыргызской Республики земельными участками утвержденной представительным органом местного самоуправления, за исключением перевода (трансформации) земель, предоставляемых под строительство многоэтажных жилых домов и земельных участков, находящихся в частной собственности, под индивидуальное жилищное строительство.</w:t>
      </w:r>
    </w:p>
    <w:p>
      <w:pPr>
        <w:spacing w:after="120"/>
        <w:ind w:firstLine="567"/>
        <w:jc w:val="both"/>
      </w:pPr>
      <w:r>
        <w:rPr>
          <w:rFonts w:ascii="Arial" w:cs="Arial" w:eastAsia="Arial" w:hAnsi="Arial"/>
          <w:sz w:val="24"/>
          <w:szCs w:val="24"/>
        </w:rPr>
        <w:t xml:space="preserve">При инициировании исполнительным органом местного самоуправления, местной государственной администрацией перевода (трансформации) земельных участков, находящихся в частной собственности, для государственных и общественных нужд требуется согласие собственника земельного участка в письменной форме.</w:t>
      </w:r>
    </w:p>
    <w:p>
      <w:pPr>
        <w:spacing w:after="120"/>
        <w:ind w:firstLine="567"/>
        <w:jc w:val="left"/>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w:t>
      </w:r>
      <w:hyperlink w:history="1" r:id="rIdewid1tygb2eojy4_rebgq">
        <w:r>
          <w:rPr>
            <w:rFonts w:ascii="Arial" w:cs="Arial" w:eastAsia="Arial" w:hAnsi="Arial"/>
            <w:i/>
            <w:iCs/>
            <w:color w:val="1D4ED8"/>
            <w:sz w:val="24"/>
            <w:szCs w:val="24"/>
            <w:u w:val="single"/>
          </w:rPr>
          <w:t xml:space="preserve"> сентября 2025 года № 597</w:t>
        </w:r>
      </w:hyperlink>
      <w:r>
        <w:rPr>
          <w:rFonts w:ascii="Arial" w:cs="Arial" w:eastAsia="Arial" w:hAnsi="Arial"/>
          <w:sz w:val="24"/>
          <w:szCs w:val="24"/>
        </w:rPr>
        <w:t xml:space="preserve">, </w:t>
      </w:r>
      <w:hyperlink w:history="1" r:id="rIduokgk7xkn_qb_ya36nshz">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Порядок рассмотрения заявления о переводе (трансформации) земельных участков</w:t>
      </w:r>
    </w:p>
    <w:p>
      <w:pPr>
        <w:spacing w:after="120"/>
        <w:ind w:firstLine="567"/>
        <w:jc w:val="both"/>
      </w:pPr>
      <w:r>
        <w:rPr>
          <w:rFonts w:ascii="Arial" w:cs="Arial" w:eastAsia="Arial" w:hAnsi="Arial"/>
          <w:sz w:val="24"/>
          <w:szCs w:val="24"/>
        </w:rPr>
        <w:t xml:space="preserve">6. Местная государственная администрация, исполнительный орган местного самоуправления городов областного и республиканского значения для формирования материалов на земельный участок направляет поступившее заявление о переводе (трансформации) земельных участков с сопутствующими документами в соответствующий филиал уполномоченного государственного органа в сфере государственной регистрации прав на недвижимое имущество (далее - соответствующий филиал) по месту нахождения земельного участка.</w:t>
      </w:r>
    </w:p>
    <w:p>
      <w:pPr>
        <w:spacing w:after="120"/>
        <w:ind w:firstLine="567"/>
        <w:jc w:val="both"/>
      </w:pPr>
      <w:r>
        <w:rPr>
          <w:rFonts w:ascii="Arial" w:cs="Arial" w:eastAsia="Arial" w:hAnsi="Arial"/>
          <w:sz w:val="24"/>
          <w:szCs w:val="24"/>
        </w:rPr>
        <w:t xml:space="preserve">7. Соответствующий филиал формирует землеустроительное дело о переводе (трансформации) земельных участков, включающее в себя:</w:t>
      </w:r>
    </w:p>
    <w:p>
      <w:pPr>
        <w:spacing w:after="120"/>
        <w:ind w:firstLine="567"/>
        <w:jc w:val="both"/>
      </w:pPr>
      <w:r>
        <w:rPr>
          <w:rFonts w:ascii="Arial" w:cs="Arial" w:eastAsia="Arial" w:hAnsi="Arial"/>
          <w:sz w:val="24"/>
          <w:szCs w:val="24"/>
        </w:rPr>
        <w:t xml:space="preserve">1) заявление, копии документов, удостоверяющих личность заявителя – физического лица, либо копия свидетельства о регистрации юридического лица, учредительные документы юридического лица, копии правоустанавливающих и правоудостоверяющих документов на земельный участок;</w:t>
      </w:r>
    </w:p>
    <w:p>
      <w:pPr>
        <w:spacing w:after="120"/>
        <w:ind w:firstLine="567"/>
        <w:jc w:val="both"/>
      </w:pPr>
      <w:r>
        <w:rPr>
          <w:rFonts w:ascii="Arial" w:cs="Arial" w:eastAsia="Arial" w:hAnsi="Arial"/>
          <w:sz w:val="24"/>
          <w:szCs w:val="24"/>
        </w:rPr>
        <w:t xml:space="preserve">2) эскизный проект земельного участка, разработанный уполномоченным органом либо предприятием, организацией или учреждением, имеющими соответствующие лицензии на право разработки градостроительной документации, с технико-экономическим обоснованием, за исключением перевода (трансформации) менее ценных сельскохозяйственных угодий в более ценные виды угодий, а также равноценных видов сельскохозяйственных угодий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3) расчеты потерь и упущенной выгоды сельскохозяйственного и лесохозяйственного производства при переводе (трансформации) земель, за исключением случаев, указанных в части 4 </w:t>
      </w:r>
      <w:r>
        <w:rPr>
          <w:rFonts w:ascii="Arial" w:cs="Arial" w:eastAsia="Arial" w:hAnsi="Arial"/>
          <w:sz w:val="24"/>
          <w:szCs w:val="24"/>
        </w:rPr>
        <w:t xml:space="preserve">статьи 15</w:t>
      </w:r>
      <w:r>
        <w:rPr>
          <w:rFonts w:ascii="Arial" w:cs="Arial" w:eastAsia="Arial" w:hAnsi="Arial"/>
          <w:sz w:val="24"/>
          <w:szCs w:val="24"/>
        </w:rPr>
        <w:t xml:space="preserve"> и   части 2 статьи 16 Земельного кодекса Кыргызской Республики;</w:t>
      </w:r>
    </w:p>
    <w:p>
      <w:pPr>
        <w:spacing w:after="120"/>
        <w:ind w:firstLine="567"/>
        <w:jc w:val="both"/>
      </w:pPr>
      <w:r>
        <w:rPr>
          <w:rFonts w:ascii="Arial" w:cs="Arial" w:eastAsia="Arial" w:hAnsi="Arial"/>
          <w:sz w:val="24"/>
          <w:szCs w:val="24"/>
        </w:rPr>
        <w:t xml:space="preserve">4) экспликация земель по видам угодий и контурам земель в разрезе каждого собственника и землепользователя;</w:t>
      </w:r>
    </w:p>
    <w:p>
      <w:pPr>
        <w:spacing w:after="120"/>
        <w:ind w:firstLine="567"/>
        <w:jc w:val="both"/>
      </w:pPr>
      <w:r>
        <w:rPr>
          <w:rFonts w:ascii="Arial" w:cs="Arial" w:eastAsia="Arial" w:hAnsi="Arial"/>
          <w:sz w:val="24"/>
          <w:szCs w:val="24"/>
        </w:rPr>
        <w:t xml:space="preserve">5) план земельного участка с указанием границ и масштаба;</w:t>
      </w:r>
    </w:p>
    <w:p>
      <w:pPr>
        <w:spacing w:after="120"/>
        <w:ind w:firstLine="567"/>
        <w:jc w:val="both"/>
      </w:pPr>
      <w:r>
        <w:rPr>
          <w:rFonts w:ascii="Arial" w:cs="Arial" w:eastAsia="Arial" w:hAnsi="Arial"/>
          <w:sz w:val="24"/>
          <w:szCs w:val="24"/>
        </w:rPr>
        <w:t xml:space="preserve">6) при расширении территорий населенных пунктов и образовании нового населенного пункта – копия программы по обеспечению граждан Кыргызской Республики земельными участками, утвержденной представительным органом местного самоуправления, за исключением перевода (трансформации) земель, предоставляемых под строительство многоэтажных жилых домов и земельных участков, находящихся в частной собственности, под индивидуальное жилищное строительство;</w:t>
      </w:r>
    </w:p>
    <w:p>
      <w:pPr>
        <w:spacing w:after="120"/>
        <w:ind w:firstLine="567"/>
        <w:jc w:val="both"/>
      </w:pPr>
      <w:r>
        <w:rPr>
          <w:rFonts w:ascii="Arial" w:cs="Arial" w:eastAsia="Arial" w:hAnsi="Arial"/>
          <w:sz w:val="24"/>
          <w:szCs w:val="24"/>
        </w:rPr>
        <w:t xml:space="preserve">7) пояснительная записка;</w:t>
      </w:r>
    </w:p>
    <w:p>
      <w:pPr>
        <w:spacing w:after="120"/>
        <w:ind w:firstLine="567"/>
        <w:jc w:val="both"/>
      </w:pPr>
      <w:r>
        <w:rPr>
          <w:rFonts w:ascii="Arial" w:cs="Arial" w:eastAsia="Arial" w:hAnsi="Arial"/>
          <w:sz w:val="24"/>
          <w:szCs w:val="24"/>
        </w:rPr>
        <w:t xml:space="preserve">8) заключение о почвенно-мелиоративном состоянии земель при переводе (трансформации) сельскохозяйственных угодий в другие виды угодий или категории земель;</w:t>
      </w:r>
    </w:p>
    <w:p>
      <w:pPr>
        <w:spacing w:after="120"/>
        <w:ind w:firstLine="567"/>
        <w:jc w:val="both"/>
      </w:pPr>
      <w:r>
        <w:rPr>
          <w:rFonts w:ascii="Arial" w:cs="Arial" w:eastAsia="Arial" w:hAnsi="Arial"/>
          <w:sz w:val="24"/>
          <w:szCs w:val="24"/>
        </w:rPr>
        <w:t xml:space="preserve">9) заключение государственного предприятия «Кыргызгипрозем» с приложением картографических материалов из открытых и бумажных источников, инвентаризационной ведомости площадей, экспликации земель;</w:t>
      </w:r>
    </w:p>
    <w:p>
      <w:pPr>
        <w:spacing w:after="120"/>
        <w:ind w:firstLine="567"/>
        <w:jc w:val="both"/>
      </w:pPr>
      <w:r>
        <w:rPr>
          <w:rFonts w:ascii="Arial" w:cs="Arial" w:eastAsia="Arial" w:hAnsi="Arial"/>
          <w:sz w:val="24"/>
          <w:szCs w:val="24"/>
        </w:rPr>
        <w:t xml:space="preserve">10) заключение (сведения) от уполномоченного государственного органа по недропользованию о наличии или отсутствии полезных ископаемых под переводимым (трансформируемым) земельным участком, за исключением перевода (трансформации) менее ценных сельскохозяйственных угодий в более ценные виды угодий, равноценных видов сельскохозяйственных угодий –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11) заключение уполномоченного органа в сфере культуры о наличии или отсутствии объектов историко-культурного наследия в случае, если на земельном участке, предлагаемом для перевода (трансформации), планируется строительство или затопление, за исключением случаев, когда земельный участок ранее использовался в сельскохозяйственных целях и расположен вблизи населенного пункта;</w:t>
      </w:r>
    </w:p>
    <w:p>
      <w:pPr>
        <w:spacing w:after="120"/>
        <w:ind w:firstLine="567"/>
        <w:jc w:val="both"/>
      </w:pPr>
      <w:r>
        <w:rPr>
          <w:rFonts w:ascii="Arial" w:cs="Arial" w:eastAsia="Arial" w:hAnsi="Arial"/>
          <w:sz w:val="24"/>
          <w:szCs w:val="24"/>
        </w:rPr>
        <w:t xml:space="preserve">12) информация исполнительного органа местного самоуправления по освоению под орошаемую пашню равнозначной площади из других категорий земель и видов угодий за счет собственных, заемных средств и инвестиций в случае перевода (трансформации) орошаемой пашни в другую категорию земель, включающая:</w:t>
      </w:r>
    </w:p>
    <w:p>
      <w:pPr>
        <w:spacing w:after="120"/>
        <w:ind w:firstLine="567"/>
        <w:jc w:val="both"/>
      </w:pPr>
      <w:r>
        <w:rPr>
          <w:rFonts w:ascii="Arial" w:cs="Arial" w:eastAsia="Arial" w:hAnsi="Arial"/>
          <w:sz w:val="24"/>
          <w:szCs w:val="24"/>
        </w:rPr>
        <w:t xml:space="preserve">– картографические материалы земельного участка, подлежащего освоению под орошаемую пашню, с указанием местоположения, границ, площади, категории земель и вида угодий;</w:t>
      </w:r>
    </w:p>
    <w:p>
      <w:pPr>
        <w:spacing w:after="120"/>
        <w:ind w:firstLine="567"/>
        <w:jc w:val="both"/>
      </w:pPr>
      <w:r>
        <w:rPr>
          <w:rFonts w:ascii="Arial" w:cs="Arial" w:eastAsia="Arial" w:hAnsi="Arial"/>
          <w:sz w:val="24"/>
          <w:szCs w:val="24"/>
        </w:rPr>
        <w:t xml:space="preserve">– сведения о наличии и достаточности водных ресурсов, необходимых для освоения земель и обеспечения устойчивого орошения;</w:t>
      </w:r>
    </w:p>
    <w:p>
      <w:pPr>
        <w:spacing w:after="120"/>
        <w:ind w:firstLine="567"/>
        <w:jc w:val="both"/>
      </w:pPr>
      <w:r>
        <w:rPr>
          <w:rFonts w:ascii="Arial" w:cs="Arial" w:eastAsia="Arial" w:hAnsi="Arial"/>
          <w:sz w:val="24"/>
          <w:szCs w:val="24"/>
        </w:rPr>
        <w:t xml:space="preserve">– проектно-сметную документацию на освоение земель под орошаемую пашню, разработанную государственным предприятием «Кыргызгипрозем»;</w:t>
      </w:r>
    </w:p>
    <w:p>
      <w:pPr>
        <w:spacing w:after="120"/>
        <w:ind w:firstLine="567"/>
        <w:jc w:val="both"/>
      </w:pPr>
      <w:r>
        <w:rPr>
          <w:rFonts w:ascii="Arial" w:cs="Arial" w:eastAsia="Arial" w:hAnsi="Arial"/>
          <w:sz w:val="24"/>
          <w:szCs w:val="24"/>
        </w:rPr>
        <w:t xml:space="preserve">13) заключение территориального уполномоченного государственного органа в сфере охраны окружающей среды на соответствие переводимого (трансформируемого) земельного участка требованиям законодательства в сфере охраны окружающей среды, за исключением перевода (трансформации) менее ценных сельскохозяйственных угодий в более ценные виды угодий, равноценных видов сельскохозяйственных угодий – из одного вида в другой в категории «Земли сельскохозяйственного назначения».</w:t>
      </w:r>
    </w:p>
    <w:p>
      <w:pPr>
        <w:spacing w:after="120"/>
        <w:ind w:firstLine="567"/>
        <w:jc w:val="both"/>
      </w:pPr>
      <w:r>
        <w:rPr>
          <w:rFonts w:ascii="Arial" w:cs="Arial" w:eastAsia="Arial" w:hAnsi="Arial"/>
          <w:sz w:val="24"/>
          <w:szCs w:val="24"/>
        </w:rPr>
        <w:t xml:space="preserve">Соответствующий филиал в течение 5 (пять) рабочих дней со дня формирования землеустроительного дела вносит землеустроительное дело о переводе (трансформации) земельного участка на рассмотрение исполнительного органа местного самоуправления, на территории которого располагается земельный участок.</w:t>
      </w:r>
    </w:p>
    <w:p>
      <w:pPr>
        <w:spacing w:after="120"/>
        <w:ind w:firstLine="567"/>
        <w:jc w:val="both"/>
      </w:pPr>
      <w:r>
        <w:rPr>
          <w:rFonts w:ascii="Arial" w:cs="Arial" w:eastAsia="Arial" w:hAnsi="Arial"/>
          <w:sz w:val="24"/>
          <w:szCs w:val="24"/>
        </w:rPr>
        <w:t xml:space="preserve">Инициатор перевода (трансформации)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w:t>
      </w:r>
      <w:hyperlink w:history="1" r:id="rIddqtfc8ex2csx8kiusmpxk">
        <w:r>
          <w:rPr>
            <w:rFonts w:ascii="Arial" w:cs="Arial" w:eastAsia="Arial" w:hAnsi="Arial"/>
            <w:i/>
            <w:iCs/>
            <w:color w:val="1D4ED8"/>
            <w:sz w:val="24"/>
            <w:szCs w:val="24"/>
            <w:u w:val="single"/>
          </w:rPr>
          <w:t xml:space="preserve"> сентября 2025 года № 597</w:t>
        </w:r>
      </w:hyperlink>
      <w:r>
        <w:rPr>
          <w:rFonts w:ascii="Arial" w:cs="Arial" w:eastAsia="Arial" w:hAnsi="Arial"/>
          <w:sz w:val="24"/>
          <w:szCs w:val="24"/>
        </w:rPr>
        <w:t xml:space="preserve">, </w:t>
      </w:r>
      <w:hyperlink w:history="1" r:id="rIdi2bcvjyiq57a8cypexcad">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Изменения, внесенные</w:t>
      </w:r>
      <w:hyperlink w:history="1" r:id="rIdbkasa_axkvyd1gcb9ogi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КР от 13 июля 2026 года № 482 в подпункт 12 пункта 7, вступают в силу с 1 января 2027 года.</w:t>
      </w:r>
    </w:p>
    <w:p>
      <w:pPr>
        <w:spacing w:after="120"/>
        <w:ind w:firstLine="567"/>
        <w:jc w:val="both"/>
      </w:pPr>
      <w:r>
        <w:rPr>
          <w:rFonts w:ascii="Arial" w:cs="Arial" w:eastAsia="Arial" w:hAnsi="Arial"/>
          <w:sz w:val="24"/>
          <w:szCs w:val="24"/>
        </w:rPr>
        <w:t xml:space="preserve">8. Комиссия в течение 5 (пяти) рабочих дней со дня поступления документов представляет в местную государственную администрацию или исполнительный орган местного самоуправления городов областного и республиканского значения заключение о возможности или невозможности перевода (трансформации) земельного участка вместе с материалами на земельный участок.</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w47pqzj7w_gki1hgcwydj">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9. В случае отрицательного заключения комиссии по вопросу о переводе (трансформации) земельного участка местная государственная администрация или исполнительный орган местного самоуправления городов областного и республиканского значения в течение 5 (пяти) рабочих дней со дня вынесения заключения направляет заявителю мотивированное заключение комиссии об отказе.</w:t>
      </w:r>
    </w:p>
    <w:p>
      <w:pPr>
        <w:spacing w:after="120"/>
        <w:ind w:firstLine="567"/>
        <w:jc w:val="both"/>
      </w:pPr>
      <w:r>
        <w:rPr>
          <w:rFonts w:ascii="Arial" w:cs="Arial" w:eastAsia="Arial" w:hAnsi="Arial"/>
          <w:sz w:val="24"/>
          <w:szCs w:val="24"/>
        </w:rPr>
        <w:t xml:space="preserve">10. Инициатор перевода (трансформации) земельных участков из одной категории в другую или в другой вид угодий обеспечивает наличие в землеустроительном деле необходимых заключений и информации.</w:t>
      </w:r>
    </w:p>
    <w:p>
      <w:pPr>
        <w:spacing w:after="120"/>
        <w:ind w:firstLine="567"/>
        <w:jc w:val="both"/>
      </w:pPr>
      <w:r>
        <w:rPr>
          <w:rFonts w:ascii="Arial" w:cs="Arial" w:eastAsia="Arial" w:hAnsi="Arial"/>
          <w:sz w:val="24"/>
          <w:szCs w:val="24"/>
        </w:rPr>
        <w:t xml:space="preserve">Оплата расходов, связанных с формированием материалов на земельный участок, осуществляется заявителями в уполномоченных органах согласно представленным расчетам.</w:t>
      </w:r>
    </w:p>
    <w:p>
      <w:pPr>
        <w:spacing w:after="120"/>
        <w:ind w:firstLine="567"/>
        <w:jc w:val="both"/>
      </w:pPr>
      <w:r>
        <w:rPr>
          <w:rFonts w:ascii="Arial" w:cs="Arial" w:eastAsia="Arial" w:hAnsi="Arial"/>
          <w:sz w:val="24"/>
          <w:szCs w:val="24"/>
        </w:rPr>
        <w:t xml:space="preserve">При наличии противоречий между данными о принадлежности земельных участков к определенной категории земель или виду угодий, указанными в сведениях государственного земельного кадастра, и данными, указанными в правоустанавливающих документах на земельные участки или документах, удостоверяющих права на землю, отнесение земельных участков к землям определенной категории земель или виду угодий осуществляется на основании данных, указанных в правоустанавливающих документах на земельные участки или документах, удостоверяющих права на землю, по заявлениям правообладателей земельных участков.</w:t>
      </w:r>
    </w:p>
    <w:p>
      <w:pPr>
        <w:spacing w:after="120"/>
        <w:ind w:firstLine="567"/>
        <w:jc w:val="both"/>
      </w:pPr>
      <w:r>
        <w:rPr>
          <w:rFonts w:ascii="Arial" w:cs="Arial" w:eastAsia="Arial" w:hAnsi="Arial"/>
          <w:sz w:val="24"/>
          <w:szCs w:val="24"/>
        </w:rPr>
        <w:t xml:space="preserve">При этом расчет возмещения потерь сельскохозяйственного и лесохозяйственного производства, а также упущенной выгоды осуществляется на основании сведений, содержащих указание на более ценный вид угодий, – независимо от источника происхождения таких сведений (данные государственного земельного кадастра либо правоустанавливающих или правоудостоверяющих документов).</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fyrunemivpzbdliutsqto">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11. </w:t>
      </w:r>
      <w:r>
        <w:rPr>
          <w:rFonts w:ascii="Arial" w:cs="Arial" w:eastAsia="Arial" w:hAnsi="Arial"/>
          <w:i/>
          <w:iCs/>
          <w:sz w:val="24"/>
          <w:szCs w:val="24"/>
        </w:rPr>
        <w:t xml:space="preserve">(Утратил силу в соответствии с </w:t>
      </w:r>
      <w:hyperlink w:history="1" r:id="rIdh_81eunxsyjjeivxptrn9">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22 сентября 2025 года № 597)</w:t>
      </w:r>
    </w:p>
    <w:p>
      <w:pPr>
        <w:spacing w:after="120"/>
        <w:ind w:firstLine="567"/>
        <w:jc w:val="both"/>
      </w:pPr>
      <w:r>
        <w:rPr>
          <w:rFonts w:ascii="Arial" w:cs="Arial" w:eastAsia="Arial" w:hAnsi="Arial"/>
          <w:sz w:val="24"/>
          <w:szCs w:val="24"/>
        </w:rPr>
        <w:t xml:space="preserve">12. Исполнительный орган местного самоуправления в течение 5 (пяти) рабочих дней со дня поступления землеустроительного дела принимает решение о возможности или невозможности перевода (трансформации) земельного участка.</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yze_gjaedzewpuz-am_t2">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13. Землеустроительное дело с решением исполнительного органа местного самоуправления айылных аймаков и городов районного значения поступает на рассмотрение местной государственной администрации.</w:t>
      </w:r>
    </w:p>
    <w:p>
      <w:pPr>
        <w:spacing w:after="120"/>
        <w:ind w:firstLine="567"/>
        <w:jc w:val="both"/>
      </w:pPr>
      <w:r>
        <w:rPr>
          <w:rFonts w:ascii="Arial" w:cs="Arial" w:eastAsia="Arial" w:hAnsi="Arial"/>
          <w:sz w:val="24"/>
          <w:szCs w:val="24"/>
        </w:rPr>
        <w:t xml:space="preserve">Землеустроительное дело с решением исполнительного органа местного самоуправления городов областного значения поступает на рассмотрение полномочного представителя Президента Кыргызской Республики в соответствующей области.</w:t>
      </w:r>
    </w:p>
    <w:p>
      <w:pPr>
        <w:spacing w:after="120"/>
        <w:ind w:firstLine="567"/>
        <w:jc w:val="both"/>
      </w:pPr>
      <w:r>
        <w:rPr>
          <w:rFonts w:ascii="Arial" w:cs="Arial" w:eastAsia="Arial" w:hAnsi="Arial"/>
          <w:sz w:val="24"/>
          <w:szCs w:val="24"/>
        </w:rPr>
        <w:t xml:space="preserve">Землеустроительное дело с решением исполнительного органа местного самоуправления городов республиканского значения поступает на рассмотрение уполномоченного органа в сфере государственной регистрации прав на недвижимое имущество.</w:t>
      </w:r>
    </w:p>
    <w:p>
      <w:pPr>
        <w:spacing w:after="120"/>
        <w:ind w:firstLine="567"/>
        <w:jc w:val="both"/>
      </w:pPr>
      <w:r>
        <w:rPr>
          <w:rFonts w:ascii="Arial" w:cs="Arial" w:eastAsia="Arial" w:hAnsi="Arial"/>
          <w:sz w:val="24"/>
          <w:szCs w:val="24"/>
        </w:rPr>
        <w:t xml:space="preserve">14. Местная государственная администрация, исполнительный орган местного самоуправления городов областного и республиканского значения, при соответствии землеустроительного дела нормам настоящего Положения, в течение 5 (пяти) рабочих дней со дня поступления землеустроительного дела в рамках компетенции вправе принять решение о согласии на перевод (трансформацию) земельных участков либо о переводе (трансформации) земельных участков.</w:t>
      </w:r>
    </w:p>
    <w:p>
      <w:pPr>
        <w:spacing w:after="120"/>
        <w:ind w:firstLine="567"/>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sd2l9qhilmljupzwqicjm">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В решении о переводе (трансформации) или о согласии на перевод (трансформацию) земельных участков должны быть указаны:</w:t>
      </w:r>
    </w:p>
    <w:p>
      <w:pPr>
        <w:spacing w:after="120"/>
        <w:ind w:firstLine="567"/>
        <w:jc w:val="both"/>
      </w:pPr>
      <w:r>
        <w:rPr>
          <w:rFonts w:ascii="Arial" w:cs="Arial" w:eastAsia="Arial" w:hAnsi="Arial"/>
          <w:sz w:val="24"/>
          <w:szCs w:val="24"/>
        </w:rPr>
        <w:t xml:space="preserve">1) основание для изменения категории и (или) вида угодий земель;</w:t>
      </w:r>
    </w:p>
    <w:p>
      <w:pPr>
        <w:spacing w:after="120"/>
        <w:ind w:firstLine="567"/>
        <w:jc w:val="both"/>
      </w:pPr>
      <w:r>
        <w:rPr>
          <w:rFonts w:ascii="Arial" w:cs="Arial" w:eastAsia="Arial" w:hAnsi="Arial"/>
          <w:sz w:val="24"/>
          <w:szCs w:val="24"/>
        </w:rPr>
        <w:t xml:space="preserve">2) местоположение земельного участка, площадь и кадастровая информация;</w:t>
      </w:r>
    </w:p>
    <w:p>
      <w:pPr>
        <w:spacing w:after="120"/>
        <w:ind w:firstLine="567"/>
        <w:jc w:val="both"/>
      </w:pPr>
      <w:r>
        <w:rPr>
          <w:rFonts w:ascii="Arial" w:cs="Arial" w:eastAsia="Arial" w:hAnsi="Arial"/>
          <w:sz w:val="24"/>
          <w:szCs w:val="24"/>
        </w:rPr>
        <w:t xml:space="preserve">3) категория и вид угодий земель, в состав которых входит земельный участок, из которых осуществляется перевод (трансформация), категория и вид угодий земель, в которые осуществляется перевод (трансформация).</w:t>
      </w:r>
    </w:p>
    <w:p>
      <w:pPr>
        <w:spacing w:after="120"/>
        <w:ind w:firstLine="567"/>
        <w:jc w:val="both"/>
      </w:pPr>
      <w:r>
        <w:rPr>
          <w:rFonts w:ascii="Arial" w:cs="Arial" w:eastAsia="Arial" w:hAnsi="Arial"/>
          <w:sz w:val="24"/>
          <w:szCs w:val="24"/>
        </w:rPr>
        <w:t xml:space="preserve">16. Решение о переводе (трансформации) земельных участков в течение 7 (семи) рабочих дней со дня принятия направляется местной государственной администрацией, исполнительным органом местного самоуправления городов областного и республиканского значения в соответствующий филиал и государственное предприятие "Кыргызгипрозем" для внесения соответствующих изменений в земельно-учетную документацию.</w:t>
      </w:r>
    </w:p>
    <w:p>
      <w:pPr>
        <w:spacing w:after="120"/>
        <w:ind w:firstLine="567"/>
        <w:jc w:val="both"/>
      </w:pPr>
      <w:r>
        <w:rPr>
          <w:rFonts w:ascii="Arial" w:cs="Arial" w:eastAsia="Arial" w:hAnsi="Arial"/>
          <w:sz w:val="24"/>
          <w:szCs w:val="24"/>
        </w:rPr>
        <w:t xml:space="preserve">При принятии решения о согласии на перевод (трансформацию) земельных участков местная государственная администрация, направляет его с землеустроительным делом на рассмотрение полномочного представителя Президента Кыргызской Республики в соответствующей области.</w:t>
      </w:r>
    </w:p>
    <w:p>
      <w:pPr>
        <w:spacing w:after="120"/>
        <w:ind w:firstLine="567"/>
        <w:jc w:val="both"/>
      </w:pPr>
      <w:r>
        <w:rPr>
          <w:rFonts w:ascii="Arial" w:cs="Arial" w:eastAsia="Arial" w:hAnsi="Arial"/>
          <w:sz w:val="24"/>
          <w:szCs w:val="24"/>
        </w:rPr>
        <w:t xml:space="preserve">17. По итогам рассмотрения представленных материалов землеустроительного дела полномочный представитель Президента Кыргызской Республики в области в течение 5 (пяти) рабочих дней со дня их поступления направляет в уполномоченный государственный орган в сфере регистрации прав на недвижимое имущество свое заключение с материалами землеустроительного дела.</w:t>
      </w:r>
    </w:p>
    <w:p>
      <w:pPr>
        <w:spacing w:after="120"/>
        <w:ind w:firstLine="567"/>
        <w:jc w:val="both"/>
      </w:pPr>
      <w:r>
        <w:rPr>
          <w:rFonts w:ascii="Arial" w:cs="Arial" w:eastAsia="Arial" w:hAnsi="Arial"/>
          <w:sz w:val="24"/>
          <w:szCs w:val="24"/>
        </w:rPr>
        <w:t xml:space="preserve">18. Уполномоченный государственный орган в сфере регистрации прав на недвижимое имущество в течение 10 (десяти) рабочих дней рассматривает представленные материалы землеустроительного дела. В случае соответствия представленных материалов землеустроительного дела нормам настоящего Положения, в установленном порядке подготавливает и направляет проект постановления Кабинета Министров Кыргызской Республики на рассмотрение Кабинета Министров Кыргызской Республики.</w:t>
      </w:r>
    </w:p>
    <w:p>
      <w:pPr>
        <w:spacing w:after="120"/>
        <w:ind w:firstLine="567"/>
        <w:jc w:val="both"/>
      </w:pPr>
      <w:r>
        <w:rPr>
          <w:rFonts w:ascii="Arial" w:cs="Arial" w:eastAsia="Arial" w:hAnsi="Arial"/>
          <w:sz w:val="24"/>
          <w:szCs w:val="24"/>
        </w:rPr>
        <w:t xml:space="preserve">В случае, если представленные материалы и землеустроительное дело не соответствуют нормам настоящего Положения и имеются отрицательные заключения государственных органов, уполномоченный государственный орган в сфере регистрации прав на недвижимое имущество в течение 10 (десяти) рабочих дней возвращает их на доработку местной государственной администрации, исполнительному органу местного самоуправления городов областного, республиканского значения.</w:t>
      </w:r>
    </w:p>
    <w:p>
      <w:pPr>
        <w:spacing w:after="120"/>
        <w:ind w:firstLine="567"/>
        <w:jc w:val="both"/>
      </w:pPr>
      <w:r>
        <w:rPr>
          <w:rFonts w:ascii="Arial" w:cs="Arial" w:eastAsia="Arial" w:hAnsi="Arial"/>
          <w:sz w:val="24"/>
          <w:szCs w:val="24"/>
        </w:rPr>
        <w:t xml:space="preserve">После устранения выявленных недостатков соответствующие материалы с землеустроительным делом повторно вносятся местной государственной администрацией или исполнительным органом местного самоуправления городов областного и республиканского значения в уполномоченный государственный орган в сфере регистрации прав на недвижимое имущество в порядке, установленном настоящим Положением.</w:t>
      </w:r>
    </w:p>
    <w:p>
      <w:pPr>
        <w:spacing w:after="120"/>
        <w:ind w:firstLine="567"/>
        <w:jc w:val="both"/>
      </w:pPr>
      <w:r>
        <w:rPr>
          <w:rFonts w:ascii="Arial" w:cs="Arial" w:eastAsia="Arial" w:hAnsi="Arial"/>
          <w:sz w:val="24"/>
          <w:szCs w:val="24"/>
        </w:rPr>
        <w:t xml:space="preserve">19. Решение о переводе (трансформации) земельных участков не принимается на определенный срок.</w:t>
      </w:r>
    </w:p>
    <w:p>
      <w:pPr>
        <w:spacing w:after="120"/>
        <w:ind w:firstLine="567"/>
        <w:jc w:val="both"/>
      </w:pPr>
      <w:r>
        <w:rPr>
          <w:rFonts w:ascii="Arial" w:cs="Arial" w:eastAsia="Arial" w:hAnsi="Arial"/>
          <w:sz w:val="24"/>
          <w:szCs w:val="24"/>
        </w:rPr>
        <w:t xml:space="preserve">20. Решение о переводе (трансформации) земельных участков направляется заявителю в порядке, установленном настоящим Положением.</w:t>
      </w:r>
    </w:p>
    <w:p>
      <w:pPr>
        <w:spacing w:after="240" w:before="200"/>
        <w:jc w:val="center"/>
      </w:pPr>
      <w:r>
        <w:rPr>
          <w:rFonts w:ascii="Arial" w:cs="Arial" w:eastAsia="Arial" w:hAnsi="Arial"/>
          <w:b/>
          <w:bCs/>
          <w:sz w:val="32"/>
          <w:szCs w:val="32"/>
        </w:rPr>
        <w:t xml:space="preserve">Глава 3. Комиссия о переводе (трансформации) земельных участков</w:t>
      </w:r>
    </w:p>
    <w:p>
      <w:pPr>
        <w:spacing w:after="120"/>
        <w:ind w:firstLine="567"/>
        <w:jc w:val="both"/>
      </w:pPr>
      <w:r>
        <w:rPr>
          <w:rFonts w:ascii="Arial" w:cs="Arial" w:eastAsia="Arial" w:hAnsi="Arial"/>
          <w:sz w:val="24"/>
          <w:szCs w:val="24"/>
        </w:rPr>
        <w:t xml:space="preserve">21. Местная государственная администрация, исполнительный орган местного самоуправления городов областного и республиканского значения создает постоянно действующую комиссию с участием представителей органа местного самоуправления, на территории которого расположен переводимый (трансформируемый) земельный участок, заявителя и местных служб: архитектуры и строительства, лесного хозяйства (при переводе из земель лесного фонда или в категории земель лесного фонда, особо охраняемых природных ресурсов), сельского и водного хозяйства (за исключением земельных участков, расположенных в границах городов областного и республиканского значения), здравоохранения, чрезвычайных ситуаций, энергетики, транспорта и коммуникаций, инспекции по контролю за использованием и охраной земель. При необходимости, председатель комиссии вправе привлекать представителей других заинтересованных государственных органов.</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pdvxnzxtls_qbpjckfmc4">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22. Комиссию возглавляет первый заместитель главы местной государственной администрации, вице-мэр города областного и республиканского значения.</w:t>
      </w:r>
    </w:p>
    <w:p>
      <w:pPr>
        <w:spacing w:after="120"/>
        <w:ind w:firstLine="567"/>
        <w:jc w:val="both"/>
      </w:pPr>
      <w:r>
        <w:rPr>
          <w:rFonts w:ascii="Arial" w:cs="Arial" w:eastAsia="Arial" w:hAnsi="Arial"/>
          <w:sz w:val="24"/>
          <w:szCs w:val="24"/>
        </w:rPr>
        <w:t xml:space="preserve">23. В компетенцию комиссии входит дача заключения о возможности или невозможности перевода (трансформации) земельного участка из одной категории в другую или в другой вид угодий.</w:t>
      </w:r>
    </w:p>
    <w:p>
      <w:pPr>
        <w:spacing w:after="120"/>
        <w:ind w:firstLine="567"/>
        <w:jc w:val="both"/>
      </w:pPr>
      <w:r>
        <w:rPr>
          <w:rFonts w:ascii="Arial" w:cs="Arial" w:eastAsia="Arial" w:hAnsi="Arial"/>
          <w:sz w:val="24"/>
          <w:szCs w:val="24"/>
        </w:rPr>
        <w:t xml:space="preserve">Ответственность за достоверность сведений, содержащихся в землеустроительном деле, несут члены комиссии.</w:t>
      </w:r>
    </w:p>
    <w:p>
      <w:pPr>
        <w:spacing w:after="120"/>
        <w:ind w:firstLine="567"/>
        <w:jc w:val="both"/>
      </w:pPr>
      <w:r>
        <w:rPr>
          <w:rFonts w:ascii="Arial" w:cs="Arial" w:eastAsia="Arial" w:hAnsi="Arial"/>
          <w:sz w:val="24"/>
          <w:szCs w:val="24"/>
        </w:rPr>
        <w:t xml:space="preserve">24. Дата, время и место проведения заседания комиссии устанавливаются председателем комиссии.</w:t>
      </w:r>
    </w:p>
    <w:p>
      <w:pPr>
        <w:spacing w:after="120"/>
        <w:ind w:firstLine="567"/>
        <w:jc w:val="both"/>
      </w:pPr>
      <w:r>
        <w:rPr>
          <w:rFonts w:ascii="Arial" w:cs="Arial" w:eastAsia="Arial" w:hAnsi="Arial"/>
          <w:sz w:val="24"/>
          <w:szCs w:val="24"/>
        </w:rPr>
        <w:t xml:space="preserve">25. Комиссия правомочна принимать решения при условии присутствия на ее заседании не менее двух третей членов комиссии.</w:t>
      </w:r>
    </w:p>
    <w:p>
      <w:pPr>
        <w:spacing w:after="120"/>
        <w:ind w:firstLine="567"/>
        <w:jc w:val="both"/>
      </w:pPr>
      <w:r>
        <w:rPr>
          <w:rFonts w:ascii="Arial" w:cs="Arial" w:eastAsia="Arial" w:hAnsi="Arial"/>
          <w:sz w:val="24"/>
          <w:szCs w:val="24"/>
        </w:rPr>
        <w:t xml:space="preserve">26. Решения комиссии принимаются открытым голосованием, большинством голосов от общего числа членов комиссии.</w:t>
      </w:r>
    </w:p>
    <w:p>
      <w:pPr>
        <w:spacing w:after="120"/>
        <w:ind w:firstLine="567"/>
        <w:jc w:val="both"/>
      </w:pPr>
      <w:r>
        <w:rPr>
          <w:rFonts w:ascii="Arial" w:cs="Arial" w:eastAsia="Arial" w:hAnsi="Arial"/>
          <w:sz w:val="24"/>
          <w:szCs w:val="24"/>
        </w:rPr>
        <w:t xml:space="preserve">27. Члены комиссии не вправе воздерживаться от голосования.</w:t>
      </w:r>
    </w:p>
    <w:p>
      <w:pPr>
        <w:spacing w:after="120"/>
        <w:ind w:firstLine="567"/>
        <w:jc w:val="both"/>
      </w:pPr>
      <w:r>
        <w:rPr>
          <w:rFonts w:ascii="Arial" w:cs="Arial" w:eastAsia="Arial" w:hAnsi="Arial"/>
          <w:sz w:val="24"/>
          <w:szCs w:val="24"/>
        </w:rPr>
        <w:t xml:space="preserve">28. По итогам голосования комиссия принимает заключение, которое должно содержать дату и место его вынесения, состав комиссии, рассмотревшей вопрос. Заключение подписывается председательствующим и членами комиссии, участвовавшими в заседании.</w:t>
      </w:r>
    </w:p>
    <w:p>
      <w:pPr>
        <w:spacing w:after="120"/>
        <w:ind w:firstLine="567"/>
        <w:jc w:val="both"/>
      </w:pPr>
      <w:r>
        <w:rPr>
          <w:rFonts w:ascii="Arial" w:cs="Arial" w:eastAsia="Arial" w:hAnsi="Arial"/>
          <w:sz w:val="24"/>
          <w:szCs w:val="24"/>
        </w:rPr>
        <w:t xml:space="preserve">28</w:t>
      </w:r>
      <w:r>
        <w:rPr>
          <w:rFonts w:ascii="Arial" w:cs="Arial" w:eastAsia="Arial" w:hAnsi="Arial"/>
          <w:sz w:val="24"/>
          <w:szCs w:val="24"/>
        </w:rPr>
        <w:t xml:space="preserve">1</w:t>
      </w:r>
      <w:r>
        <w:rPr>
          <w:rFonts w:ascii="Arial" w:cs="Arial" w:eastAsia="Arial" w:hAnsi="Arial"/>
          <w:sz w:val="24"/>
          <w:szCs w:val="24"/>
        </w:rPr>
        <w:t xml:space="preserve">. По поручению председателя комиссии проект заключения может быть согласован путем визирования опросного листа членами комиссии, который прилагается к проекту заключения.</w:t>
      </w:r>
    </w:p>
    <w:p>
      <w:pPr>
        <w:spacing w:after="120"/>
        <w:ind w:firstLine="708"/>
        <w:jc w:val="left"/>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 22</w:t>
      </w:r>
      <w:hyperlink w:history="1" r:id="rIdcjgypspmmkhwgb2klf0lf">
        <w:r>
          <w:rPr>
            <w:rFonts w:ascii="Arial" w:cs="Arial" w:eastAsia="Arial" w:hAnsi="Arial"/>
            <w:i/>
            <w:iCs/>
            <w:color w:val="1D4ED8"/>
            <w:sz w:val="24"/>
            <w:szCs w:val="24"/>
            <w:u w:val="single"/>
          </w:rPr>
          <w:t xml:space="preserve"> сентября 2025 года № 597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В случае несогласия с принимаемым решением член комиссии вправе письменно изложить особое мнение, которое прилагается к заключению комиссии.</w:t>
      </w:r>
    </w:p>
    <w:p>
      <w:pPr>
        <w:spacing w:after="120"/>
        <w:ind w:firstLine="567"/>
        <w:jc w:val="both"/>
      </w:pPr>
      <w:r>
        <w:rPr>
          <w:rFonts w:ascii="Arial" w:cs="Arial" w:eastAsia="Arial" w:hAnsi="Arial"/>
          <w:sz w:val="24"/>
          <w:szCs w:val="24"/>
        </w:rPr>
        <w:t xml:space="preserve">30. Заинтересованные лица вправе получить копию заключения комиссии в течение 10 (десяти) дней после его принятия.</w:t>
      </w:r>
    </w:p>
    <w:p>
      <w:pPr>
        <w:spacing w:after="240" w:before="200"/>
        <w:jc w:val="center"/>
      </w:pPr>
      <w:r>
        <w:rPr>
          <w:rFonts w:ascii="Arial" w:cs="Arial" w:eastAsia="Arial" w:hAnsi="Arial"/>
          <w:b/>
          <w:bCs/>
          <w:sz w:val="32"/>
          <w:szCs w:val="32"/>
        </w:rPr>
        <w:t xml:space="preserve">Глава 4. Внесение изменений в Государственный земельный кадастр и Единый государственный реестр прав на недвижимое имущество в связи с переводом (трансформацией) земельных участков</w:t>
      </w:r>
    </w:p>
    <w:p>
      <w:pPr>
        <w:spacing w:after="120"/>
        <w:ind w:firstLine="567"/>
        <w:jc w:val="both"/>
      </w:pPr>
      <w:r>
        <w:rPr>
          <w:rFonts w:ascii="Arial" w:cs="Arial" w:eastAsia="Arial" w:hAnsi="Arial"/>
          <w:sz w:val="24"/>
          <w:szCs w:val="24"/>
        </w:rPr>
        <w:t xml:space="preserve">31. Принятое решение о переводе (трансформации) земельных участков в течение 10 (десяти) рабочих дней со дня его принятия направляется в соответствующий филиал и в государственное предприятие "Кыргызгипрозем" для внесения в установленном порядке изменений в Государственный земельный кадастр и Единый государственный реестр прав на недвижимое имущество.</w:t>
      </w:r>
    </w:p>
    <w:p>
      <w:pPr>
        <w:spacing w:after="120"/>
        <w:ind w:firstLine="567"/>
        <w:jc w:val="both"/>
      </w:pPr>
      <w:r>
        <w:rPr>
          <w:rFonts w:ascii="Arial" w:cs="Arial" w:eastAsia="Arial" w:hAnsi="Arial"/>
          <w:sz w:val="24"/>
          <w:szCs w:val="24"/>
        </w:rPr>
        <w:t xml:space="preserve">32. Соответствующий филиал вносит изменения в Государственный земельный кадастр.</w:t>
      </w:r>
    </w:p>
    <w:p>
      <w:pPr>
        <w:spacing w:after="120"/>
        <w:ind w:firstLine="567"/>
        <w:jc w:val="both"/>
      </w:pPr>
      <w:r>
        <w:rPr>
          <w:rFonts w:ascii="Arial" w:cs="Arial" w:eastAsia="Arial" w:hAnsi="Arial"/>
          <w:sz w:val="24"/>
          <w:szCs w:val="24"/>
        </w:rPr>
        <w:t xml:space="preserve">33. При переводе (трансформации) земельных участков не требуется переоформление правоустанавливающих документов на земельные участки, в отношении которых приняты решения. В документы, удостоверяющие право на земельный участок, вносятся соответствующие изменения, или (по заявлению правообладателя) выдается новый документ, удостоверяющий право на земельный участок.</w:t>
      </w:r>
    </w:p>
    <w:p>
      <w:pPr>
        <w:spacing w:after="120"/>
        <w:ind w:firstLine="567"/>
        <w:jc w:val="both"/>
      </w:pPr>
      <w:r>
        <w:rPr>
          <w:rFonts w:ascii="Arial" w:cs="Arial" w:eastAsia="Arial" w:hAnsi="Arial"/>
          <w:sz w:val="24"/>
          <w:szCs w:val="24"/>
        </w:rPr>
        <w:t xml:space="preserve">33</w:t>
      </w:r>
      <w:r>
        <w:rPr>
          <w:rFonts w:ascii="Arial" w:cs="Arial" w:eastAsia="Arial" w:hAnsi="Arial"/>
          <w:sz w:val="24"/>
          <w:szCs w:val="24"/>
        </w:rPr>
        <w:t xml:space="preserve">1</w:t>
      </w:r>
      <w:r>
        <w:rPr>
          <w:rFonts w:ascii="Arial" w:cs="Arial" w:eastAsia="Arial" w:hAnsi="Arial"/>
          <w:sz w:val="24"/>
          <w:szCs w:val="24"/>
        </w:rPr>
        <w:t xml:space="preserve">. После перевода (трансформации) земельного участка собственник или землепользователь обязан в течение трех лет освоить под орошаемую пашню равнозначную площадь из других категорий земель и видов угодий, предоставляемых местной государственной администрацией или исполнительным органом местного самоуправления, на основании проектно-сметной документации, разработанной государственным предприятием "Кыргызгипрозем" в порядке, определяемом уполномоченным органом в сфере государственной регистрации прав на недвижимое имущество.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bmgavaggtzsv1iu179uq">
        <w:r>
          <w:rPr>
            <w:rFonts w:ascii="Arial" w:cs="Arial" w:eastAsia="Arial" w:hAnsi="Arial"/>
            <w:i/>
            <w:iCs/>
            <w:color w:val="1D4ED8"/>
            <w:sz w:val="24"/>
            <w:szCs w:val="24"/>
            <w:u w:val="single"/>
          </w:rPr>
          <w:t xml:space="preserve">13 июля 2026 года № 482</w:t>
        </w:r>
      </w:hyperlink>
      <w:r>
        <w:rPr>
          <w:rFonts w:ascii="Arial" w:cs="Arial" w:eastAsia="Arial" w:hAnsi="Arial"/>
          <w:i/>
          <w:iCs/>
          <w:sz w:val="24"/>
          <w:szCs w:val="24"/>
        </w:rPr>
        <w:t xml:space="preserve">)</w:t>
      </w:r>
    </w:p>
    <w:p>
      <w:pPr>
        <w:spacing w:after="120"/>
        <w:ind w:firstLine="567"/>
        <w:jc w:val="both"/>
      </w:pPr>
      <w:r>
        <w:rPr>
          <w:rFonts w:ascii="Arial" w:cs="Arial" w:eastAsia="Arial" w:hAnsi="Arial"/>
          <w:i/>
          <w:iCs/>
          <w:sz w:val="24"/>
          <w:szCs w:val="24"/>
        </w:rPr>
        <w:t xml:space="preserve">Внимание! В соответствии с пунктом 3</w:t>
      </w:r>
      <w:hyperlink w:history="1" r:id="rIdtopfr7epmbvzcn67bpfk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Кабинета Министров КР от 13 июля 2026 года № 482 пункт 33</w:t>
      </w:r>
      <w:r>
        <w:rPr>
          <w:rFonts w:ascii="Arial" w:cs="Arial" w:eastAsia="Arial" w:hAnsi="Arial"/>
          <w:i/>
          <w:iCs/>
          <w:sz w:val="24"/>
          <w:szCs w:val="24"/>
        </w:rPr>
        <w:t xml:space="preserve">1</w:t>
      </w:r>
      <w:r>
        <w:rPr>
          <w:rFonts w:ascii="Arial" w:cs="Arial" w:eastAsia="Arial" w:hAnsi="Arial"/>
          <w:i/>
          <w:iCs/>
          <w:sz w:val="24"/>
          <w:szCs w:val="24"/>
        </w:rPr>
        <w:t xml:space="preserve"> вступает в силу с 1 января 2027 года.</w:t>
      </w:r>
    </w:p>
    <w:p>
      <w:pPr>
        <w:spacing w:after="120"/>
        <w:ind w:firstLine="567"/>
        <w:jc w:val="both"/>
      </w:pPr>
      <w:r>
        <w:rPr>
          <w:rFonts w:ascii="Arial" w:cs="Arial" w:eastAsia="Arial" w:hAnsi="Arial"/>
          <w:sz w:val="24"/>
          <w:szCs w:val="24"/>
        </w:rPr>
        <w:t xml:space="preserve">34. В случае неиспользования трансформированного земельного участка либо его использования не по целевому назначению, а также при неисполнении собственником или землепользователем обязательств по освоению в течение трех лет других видов угодий с переводом их в орошаемую пашню за счет собственных, заемных средств и инвестиций с последующим включением в Государственный фонд сельскохозяйственных угодий указанный земельный участок подлежит приведению в первоначальное состояние без проведения процедур повторного перевода (трансформации).</w:t>
      </w:r>
    </w:p>
    <w:p>
      <w:pPr>
        <w:spacing w:after="120"/>
        <w:ind w:firstLine="567"/>
        <w:jc w:val="both"/>
      </w:pPr>
      <w:r>
        <w:rPr>
          <w:rFonts w:ascii="Arial" w:cs="Arial" w:eastAsia="Arial" w:hAnsi="Arial"/>
          <w:sz w:val="24"/>
          <w:szCs w:val="24"/>
        </w:rPr>
        <w:t xml:space="preserve">Контроль за соблюдением условий целевого использования трансформированных земельных участков, сроков освоения новых угодий и их включения в Государственный фонд сельскохозяйственных угодий осуществляется уполномоченным органом в сфере охраны и контроля за использованием земельных участков совместно с местными государственными администрациями и органами местного самоуправления.</w:t>
      </w:r>
    </w:p>
    <w:p>
      <w:pPr>
        <w:spacing w:after="120"/>
        <w:ind w:firstLine="567"/>
        <w:jc w:val="both"/>
      </w:pPr>
      <w:r>
        <w:rPr>
          <w:rFonts w:ascii="Arial" w:cs="Arial" w:eastAsia="Arial" w:hAnsi="Arial"/>
          <w:sz w:val="24"/>
          <w:szCs w:val="24"/>
        </w:rPr>
        <w:t xml:space="preserve">Решения о приведении земельного участка в первоначальное состояние принимаются в соответствии с компетенциями уполномоченных органов в сфере регулирования земельных отношений и подлежат внесению в государственный земельный кадастр.</w:t>
      </w:r>
    </w:p>
    <w:p>
      <w:pPr>
        <w:spacing w:after="120"/>
        <w:ind w:firstLine="567"/>
        <w:jc w:val="left"/>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22 </w:t>
      </w:r>
      <w:hyperlink w:history="1" r:id="rIddfhtks5_ltqiuh4hlceru">
        <w:r>
          <w:rPr>
            <w:rFonts w:ascii="Arial" w:cs="Arial" w:eastAsia="Arial" w:hAnsi="Arial"/>
            <w:i/>
            <w:iCs/>
            <w:color w:val="1D4ED8"/>
            <w:sz w:val="24"/>
            <w:szCs w:val="24"/>
            <w:u w:val="single"/>
          </w:rPr>
          <w:t xml:space="preserve">сентября 2025 года № 597</w:t>
        </w:r>
      </w:hyperlink>
      <w:r>
        <w:rPr>
          <w:rFonts w:ascii="Arial" w:cs="Arial" w:eastAsia="Arial" w:hAnsi="Arial"/>
          <w:sz w:val="24"/>
          <w:szCs w:val="24"/>
        </w:rPr>
        <w:t xml:space="preserve">, </w:t>
      </w:r>
      <w:hyperlink w:history="1" r:id="rIdbl00aqgs6_awwtbquqvud">
        <w:r>
          <w:rPr>
            <w:rFonts w:ascii="Arial" w:cs="Arial" w:eastAsia="Arial" w:hAnsi="Arial"/>
            <w:i/>
            <w:iCs/>
            <w:color w:val="1D4ED8"/>
            <w:sz w:val="24"/>
            <w:szCs w:val="24"/>
            <w:u w:val="single"/>
          </w:rPr>
          <w:t xml:space="preserve">13 июля 2026 года № 482</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eyum4gyaft3m08-vk8y">
      <w:r>
        <w:rPr>
          <w:rFonts w:ascii="Arial" w:cs="Arial" w:eastAsia="Arial" w:hAnsi="Arial"/>
          <w:color w:val="132D3F"/>
          <w:sz w:val="16"/>
          <w:szCs w:val="16"/>
          <w:u w:val="single"/>
        </w:rPr>
        <w:t xml:space="preserve">dalil.kg/document/230017596</w:t>
      </w:r>
    </w:hyperlink>
  </w:p>
  <w:p>
    <w:pPr>
      <w:spacing w:after="0" w:before="40"/>
      <w:jc w:val="center"/>
    </w:pPr>
    <w:hyperlink w:history="1" r:id="rIdnylovkfapxthdlofvnnn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ui3ho_ng2i6aqffml5r" Type="http://schemas.openxmlformats.org/officeDocument/2006/relationships/hyperlink" Target="https://dalil.kg/document/230017580" TargetMode="External"/><Relationship Id="rIdtil0dtilmd68otdcksz83" Type="http://schemas.openxmlformats.org/officeDocument/2006/relationships/hyperlink" Target="https://dalil.kg/document/230031645" TargetMode="External"/><Relationship Id="rIdtf4q-i1abe3bdhws-jzul" Type="http://schemas.openxmlformats.org/officeDocument/2006/relationships/hyperlink" Target="https://dalil.kg/document/230048690" TargetMode="External"/><Relationship Id="rIdcet24y95nuq5mhux49ree" Type="http://schemas.openxmlformats.org/officeDocument/2006/relationships/hyperlink" Target="https://dalil.kg/document/230048690" TargetMode="External"/><Relationship Id="rIdewid1tygb2eojy4_rebgq" Type="http://schemas.openxmlformats.org/officeDocument/2006/relationships/hyperlink" Target="https://dalil.kg/document/230031645" TargetMode="External"/><Relationship Id="rIduokgk7xkn_qb_ya36nshz" Type="http://schemas.openxmlformats.org/officeDocument/2006/relationships/hyperlink" Target="https://dalil.kg/document/230048690" TargetMode="External"/><Relationship Id="rIddqtfc8ex2csx8kiusmpxk" Type="http://schemas.openxmlformats.org/officeDocument/2006/relationships/hyperlink" Target="https://dalil.kg/document/230031645" TargetMode="External"/><Relationship Id="rIdi2bcvjyiq57a8cypexcad" Type="http://schemas.openxmlformats.org/officeDocument/2006/relationships/hyperlink" Target="https://dalil.kg/document/230048690" TargetMode="External"/><Relationship Id="rIdbkasa_axkvyd1gcb9ogik" Type="http://schemas.openxmlformats.org/officeDocument/2006/relationships/hyperlink" Target="https://dalil.kg/document/230048690" TargetMode="External"/><Relationship Id="rIdw47pqzj7w_gki1hgcwydj" Type="http://schemas.openxmlformats.org/officeDocument/2006/relationships/hyperlink" Target="https://dalil.kg/document/230031645" TargetMode="External"/><Relationship Id="rIdfyrunemivpzbdliutsqto" Type="http://schemas.openxmlformats.org/officeDocument/2006/relationships/hyperlink" Target="https://dalil.kg/document/230031645" TargetMode="External"/><Relationship Id="rIdh_81eunxsyjjeivxptrn9" Type="http://schemas.openxmlformats.org/officeDocument/2006/relationships/hyperlink" Target="https://dalil.kg/document/230026937" TargetMode="External"/><Relationship Id="rIdyze_gjaedzewpuz-am_t2" Type="http://schemas.openxmlformats.org/officeDocument/2006/relationships/hyperlink" Target="https://dalil.kg/document/230031645" TargetMode="External"/><Relationship Id="rIdsd2l9qhilmljupzwqicjm" Type="http://schemas.openxmlformats.org/officeDocument/2006/relationships/hyperlink" Target="https://dalil.kg/document/230031645" TargetMode="External"/><Relationship Id="rIdpdvxnzxtls_qbpjckfmc4" Type="http://schemas.openxmlformats.org/officeDocument/2006/relationships/hyperlink" Target="https://dalil.kg/document/230031645" TargetMode="External"/><Relationship Id="rIdcjgypspmmkhwgb2klf0lf" Type="http://schemas.openxmlformats.org/officeDocument/2006/relationships/hyperlink" Target="https://dalil.kg/document/230031645" TargetMode="External"/><Relationship Id="rIdsbmgavaggtzsv1iu179uq" Type="http://schemas.openxmlformats.org/officeDocument/2006/relationships/hyperlink" Target="https://dalil.kg/document/230048690" TargetMode="External"/><Relationship Id="rIdtopfr7epmbvzcn67bpfkb" Type="http://schemas.openxmlformats.org/officeDocument/2006/relationships/hyperlink" Target="https://dalil.kg/document/230048690" TargetMode="External"/><Relationship Id="rIddfhtks5_ltqiuh4hlceru" Type="http://schemas.openxmlformats.org/officeDocument/2006/relationships/hyperlink" Target="https://dalil.kg/document/230031645" TargetMode="External"/><Relationship Id="rIdbl00aqgs6_awwtbquqvud" Type="http://schemas.openxmlformats.org/officeDocument/2006/relationships/hyperlink" Target="https://dalil.kg/document/230048690"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eyum4gyaft3m08-vk8y" Type="http://schemas.openxmlformats.org/officeDocument/2006/relationships/hyperlink" Target="https://dalil.kg/document/230017596" TargetMode="External"/><Relationship Id="rIdnylovkfapxthdlofvnnn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2026-09-24T23:35:14.080Z</dcterms:created>
  <dcterms:modified xsi:type="dcterms:W3CDTF">2026-09-24T23:35:14.080Z</dcterms:modified>
</cp:coreProperties>
</file>

<file path=docProps/custom.xml><?xml version="1.0" encoding="utf-8"?>
<Properties xmlns="http://schemas.openxmlformats.org/officeDocument/2006/custom-properties" xmlns:vt="http://schemas.openxmlformats.org/officeDocument/2006/docPropsVTypes"/>
</file>