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сентября 2024 года № 2351-VII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rvshvbxatfwu5wwrf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Санкт-Петербурге", инициированный Председателем Кабинета Министров Кыргызской Республики (исх. № 15-3796 от 8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khe5ikvedi2_wsql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dalil.kg/document/230018038</w:t>
      </w:r>
    </w:hyperlink>
  </w:p>
  <w:p>
    <w:pPr>
      <w:spacing w:after="0" w:before="40"/>
      <w:jc w:val="center"/>
    </w:pPr>
    <w:hyperlink w:history="1" r:id="rIdpximo3p5ssnkmqmtgk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vshvbxatfwu5wwrfm_v" Type="http://schemas.openxmlformats.org/officeDocument/2006/relationships/hyperlink" Target="https://dalil.kg/document/230015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khe5ikvedi2_wsqlw0" Type="http://schemas.openxmlformats.org/officeDocument/2006/relationships/hyperlink" Target="https://dalil.kg/document/230018038" TargetMode="External"/><Relationship Id="rIdpximo3p5ssnkmqmtgkb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2026-09-27T20:42:22.607Z</dcterms:created>
  <dcterms:modified xsi:type="dcterms:W3CDTF">2026-09-27T20:42:22.607Z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