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об исполнении бюджета Социального фонда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при Кабинете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за 2023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</w:t>
      </w:r>
      <w:r>
        <w:rPr>
          <w:rFonts w:ascii="Arial" w:cs="Arial" w:eastAsia="Arial" w:hAnsi="Arial"/>
          <w:sz w:val="24"/>
          <w:szCs w:val="24"/>
        </w:rPr>
        <w:t xml:space="preserve">Утвердить отчет об исполнении бюджета Социального фонда Кыргызской Республики при Кабинете Министров Кыргызской Республики за 2023 год, внесенный Председателем Кабинета Министров Кыргызской Республики (исх. № 18-4078 от 15 мая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разработать и утвердить ключевые показатели эффективности (KPI) для оценки деятельности Социального фонда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Социальному фонду Кыргызской Республики при Кабинете Министров Кыргызской Республики: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отчете об исполнении бюджета предоставлять детализированный отчет, раскрывающий доходы Социального фонда, в частности, поступившие от выплат страховых взносов различными секторами экономики, данные об увеличении или сокращении количества плательщиков страховых взносов, а также административных расходах Социального фонда (штатная численность, заработная плата, содержание зданий, транспортные расходы и другие расходы);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пояснительной записке к отчету об исполнении бюджета давать подробную информацию о доходах и расходах, раскрывать вопросы продвижения цифровизации Социального фонда.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Комитет по бюджету, экономической и фискальной политике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7boc-qdecg_lt94d2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dalil.kg/document/230018699</w:t>
      </w:r>
    </w:hyperlink>
  </w:p>
  <w:p>
    <w:pPr>
      <w:spacing w:after="0" w:before="40"/>
      <w:jc w:val="center"/>
    </w:pPr>
    <w:hyperlink w:history="1" r:id="rIdes_imximyz-gisc63ho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7boc-qdecg_lt94d2lo" Type="http://schemas.openxmlformats.org/officeDocument/2006/relationships/hyperlink" Target="https://dalil.kg/document/230018699" TargetMode="External"/><Relationship Id="rIdes_imximyz-gisc63ho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2026-09-27T17:33:16.136Z</dcterms:created>
  <dcterms:modified xsi:type="dcterms:W3CDTF">2026-09-27T17:33:16.136Z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