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территории айылного аймака А. Масалиев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Кадамджа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йс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кого района Баткенской области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Республики, из категории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«Земли сельскохозяйственного назначения»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территории населенных пунктов (сел Кожо и Алыш), расположенных на территории айылного аймака А. Масалиев Кадамджайского района Баткенской области Кыргызской Республики, в соответствии с пунктом 12 части 1 </w:t>
      </w:r>
      <w:hyperlink w:history="1" r:id="rIdlfg6avcwspjlieyj2v3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v6z8jiym93yee9kmbps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переводе (трансформации) земельных участков», статьями </w:t>
      </w:r>
      <w:hyperlink w:history="1" r:id="rIdytzs-ocxo2xmlbrxdzy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tc9sffers1pngx1dqs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принимая во внимание заключение полномочного представителя Президента Кыргызской Республики в Баткенской области Кыргызской Республики от 8 декабря 2022 года № 01-18/3657, постановление государственной администрации Кадамджайского района Баткенской области Кыргызской Республики от 30 ноября 2022 года № 01-15/411-т,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150,0 га земель, находящихся в государственной собственности, расположенных на территории айылного аймака А. Масалиев Кадамджайского района Баткенской области Кыргызской Республики, из категории «Земли сельскохозяйственного назначения» в категорию «Земли населенных пунктов» для строительства индивидуальных жилых домов, из них: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147,1 га пастбищ, расположенных в контурах № 20 (35,4 га), № 27 (14,6 га), № 1 (89,1 га), № 7 (8,0 га);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2,9 га земель под водой (саи), расположенных в контуре № 1 (2,90 га) (прочие земли).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Кадамджайского района Баткенской области Кыргызской Республики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целевое использование земель,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и утверждение градостроительной документации земель,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постановления,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организацию функционирования и развития системы жизнеобеспечения территории, социально-экономического развития за счет средств местного бюджета, местного сообщества и собственников земельных участков;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восстановление площади земель,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постановления, проведение анализа малопродуктивных земель и введение их в сельскохозяйственный оборот;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сохранность объектов историко-культурного наследия в случае их выявления на указанных землях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принятие мер в отношении собственников земельных участков, предусматривающих изъятие земельного участка в соответствии с законодательством Кыргызской Республики, с приведением в первоначальное состояние земельного участка в случае неиспользования или использования не по целевому назначению.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 Н</w:t>
      </w:r>
      <w:r>
        <w:rPr>
          <w:rFonts w:ascii="Arial" w:cs="Arial" w:eastAsia="Arial" w:hAnsi="Arial"/>
          <w:sz w:val="24"/>
          <w:szCs w:val="24"/>
        </w:rPr>
        <w:t xml:space="preserve">астоящее постановление вступает в силу по истечении десяти дней со дня официального опубли</w:t>
      </w:r>
      <w:r>
        <w:rPr>
          <w:rFonts w:ascii="Arial" w:cs="Arial" w:eastAsia="Arial" w:hAnsi="Arial"/>
          <w:sz w:val="24"/>
          <w:szCs w:val="24"/>
        </w:rPr>
        <w:t xml:space="preserve">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10 января 2025 года № 1 (3657)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vyqqw-pvi10cq5z6q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dalil.kg/document/230020040</w:t>
      </w:r>
    </w:hyperlink>
  </w:p>
  <w:p>
    <w:pPr>
      <w:spacing w:after="0" w:before="40"/>
      <w:jc w:val="center"/>
    </w:pPr>
    <w:hyperlink w:history="1" r:id="rId39hozmcsxry4kvk0kcf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g6avcwspjlieyj2v3bu" Type="http://schemas.openxmlformats.org/officeDocument/2006/relationships/hyperlink" Target="https://dalil.kg/document/8#st_20" TargetMode="External"/><Relationship Id="rIdv6z8jiym93yee9kmbpsts" Type="http://schemas.openxmlformats.org/officeDocument/2006/relationships/hyperlink" Target="https://dalil.kg/document/203953#st_6" TargetMode="External"/><Relationship Id="rIdytzs-ocxo2xmlbrxdzyqh" Type="http://schemas.openxmlformats.org/officeDocument/2006/relationships/hyperlink" Target="https://dalil.kg/document/112301#st_13" TargetMode="External"/><Relationship Id="rIdutc9sffers1pngx1dqsec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vyqqw-pvi10cq5z6qhl" Type="http://schemas.openxmlformats.org/officeDocument/2006/relationships/hyperlink" Target="https://dalil.kg/document/230020040" TargetMode="External"/><Relationship Id="rId39hozmcsxry4kvk0kcf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2026-09-27T16:25:46.689Z</dcterms:created>
  <dcterms:modified xsi:type="dcterms:W3CDTF">2026-09-27T16:25:46.689Z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