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210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Счетной палате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(газета "Эркин-Тоо" от 6 июня 2023 года № 45)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rseec2yd1ffmuj_dj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"и в соответствии с международными стандартами аудита высших органов аудита"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Аудиторы Счетной палаты сохраняют свои полномочия на весь срок их избрания независимо от формирования нового созыва Жогорку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l2e_sxtc0t5allrnh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слова "в сфере деятельности, отличной от аудита и бухгалтерского учета" заменить словами "в соответствующей сфере";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14 слова "должностное лицо" заменить словом "служащий";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15 слова "аудиторской деятельности," заменить словами "аудиторских и/или";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экспертно-аналитическое мероприятие - комплекс мер по исследованию актуальных проблем финансовой системы, формирования и исполнения бюджетов бюджетной системы, внебюджетных фондов, а также исследованию причин и последствий нарушений и недостатков, выявленных по результатам проведенных аудиторских мероприятий;";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qdotv2pabktv33uxrs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"их международными объединениями" заменить словами "международными организациями";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участие в процессе осуществления аудита использования средств бюджета международных организаций, членом которых является Кыргызская Республика, в бюджет которых уплачивает членские взносы.";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второе части 1 </w:t>
      </w:r>
      <w:hyperlink w:history="1" r:id="rId_ov-t3aofqv4x8qzib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 "Алар Кыргыз Республикасынын чет өлкөлөрдө иштеп жаткан мамлекеттик уюмдарына жана мекемелерине колдонулат.";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nurylrdnoytlxf8j6ab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"профессиональных"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назначает на должность и освобождает от должности сотрудников аппарата Счетной палаты и служащих территориальных подразделений Счетной палаты;";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gdcver9sjnozpb6_mf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"7" заменить цифрой "9";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y71qqiad-xvlik2ejl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имеет исключительное право подписи отчета по результатам аудиторских и/или экспертно-аналитических мероприятий;";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2 слово "профессиональных"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hokqthwz-vgbzrb8zew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"аудитора" дополнить словами "и служащего";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"Служащий Счетной палаты после назначения на должность приносит присягу перед Советом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3 </w:t>
      </w:r>
      <w:hyperlink w:history="1" r:id="rIdxbg82rpjq_lsnmnqkx6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цифру "5" заменить цифрой "7";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obglur44iakijxakf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5p9hvwsy2dhsyeshy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Прохождение государственной гражданской службы в Счетной палате. Аттестация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поступления и прохождения государственной гражданской службы в Счетной палате, а также освобождения от нее определяется Президентом.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определения соответствия служащих Счетной палаты занимаемой должности, укрепления служебной дисциплины и установления перспектив служебного роста проводится аттестация служащих Счетной палаты.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Первичная аттестация проводится через год после принятия на работу в Счетную палату.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Очередная аттестация служащих Счетной палаты проводится один раз в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Очередной аттестации не подлежат: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беременная женщина-служащий;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служащий, находящийся в отпуске по беременности и родам, в отпуске по уходу за ребенком.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лица проходят аттестацию не ранее чем через один год после выхода из отпуска.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Служащий, находящийся в отпуске, на лечении, должен пройти аттестацию через месяц после выхода на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Проведение внеочередных аттестаций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Аттестация служащих проводится аттестационной комиссией Счетной палаты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председателем Счетной палаты.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проводятся при наличии не менее двух третей членов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и рекомендации Комиссии принимаются открытым голосованием большинством голосов от общего числа присутствующих членов Комиссии. При равенстве числа голосов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аттестации служащего Комиссия выносит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занимаемой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соответствует занимаемой должности и рекомендуется на повышение;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подлежит повторной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соответствует занимаемой должности и подлежит перемещению на нижестоящую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соответствует занимаемой должности и подлежит увольнению.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Повторная аттестация проводится по истечении шести месяцев со дня проведения первоначальной аттестации. Комиссия по итогам повторной аттестации выносит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занимаемой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соответствует занимаемой должности и подлежит увольнению.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проведения аттестации служащих Счетной палаты определяется правовыми актами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qmzwzeag71zy-thjsz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"стратегического и годовых планов" заменить словами "Стратегического плана развития Счетной палаты и годового плана";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"планов работы Счетной палаты" заменить словами "годового плана аудиторской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6 слова "работы Счетной палаты" заменить словами "аудиторской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j75_wv7pvr9xkuqldr_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слово "Член Счетной палаты" заменить словами "Член Совета Счетной палаты";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", но не реже одного раза в месяц"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"стратегический и годовой планы" заменить словами "Стратегический план развития Счетной палаты и годовой план";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"Регламент Счетной палаты," дополнить словами "положения территориальных подразделений Счетной палаты,";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3 </w:t>
      </w:r>
      <w:hyperlink w:history="1" r:id="rIdrqnoxpklxlmfzr9lrp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Стандарты внешнего государственного аудита определяют общие требования, характеристики, правила и процедуры осуществления Счетной палатой аудиторских и экспертно-аналитических мероприятий.";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kr5pdimzxjugbaylxvx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13s_zlt_9ydzvb08d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</w:t>
        </w:r>
      </w:hyperlink>
      <w:r>
        <w:rPr>
          <w:rFonts w:ascii="Arial" w:cs="Arial" w:eastAsia="Arial" w:hAnsi="Arial"/>
          <w:sz w:val="24"/>
          <w:szCs w:val="24"/>
        </w:rPr>
        <w:t xml:space="preserve">. Международное сотрудничество Счетной палаты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Счетная палата сотрудничает с международными организациями по вопросам внешнего государственного аудита и высшими органами аудита иностранных государств, а также проводит с ними аудиторские и/или экспертно-аналитические мероприятия совместно или параллельно.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реализации международных стандартов аудита может быть дана оценка функциональной деятельности Счетной палаты со стороны высших органов аудита иностранных государств на основании заключенных меморандумов или соглашений.";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предложение первое части 4 </w:t>
      </w:r>
      <w:hyperlink w:history="1" r:id="rId7rlu7cpwd9ok03roq0h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"Для укрепления материально-технической базы Счетной палаты и ее учреждений, повышения потенциала сотрудников и стимулирования высоких показателей аудиторской деятельности создается фонд, объем средств которого составляет 50 процентов от суммы расходов на содержание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8</w:t>
      </w:r>
      <w:r>
        <w:rPr>
          <w:rFonts w:ascii="Arial" w:cs="Arial" w:eastAsia="Arial" w:hAnsi="Arial"/>
          <w:sz w:val="24"/>
          <w:szCs w:val="24"/>
        </w:rPr>
        <w:t xml:space="preserve"> цифру "8" заменить цифрой "7";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</w:t>
      </w:r>
      <w:hyperlink w:history="1" r:id="rIdq0qdj-4jd8xda8ebzx8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"ченемдик"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января 2025 года № 1 (3657)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seec2yd1ffmuj_djgs8" Type="http://schemas.openxmlformats.org/officeDocument/2006/relationships/hyperlink" Target="http://kodeks.duckdns.org/document/112596#st_2" TargetMode="External"/><Relationship Id="rIdml2e_sxtc0t5allrnhd-f" Type="http://schemas.openxmlformats.org/officeDocument/2006/relationships/hyperlink" Target="http://kodeks.duckdns.org/document/112596#st_3" TargetMode="External"/><Relationship Id="rIdqdotv2pabktv33uxrssvf" Type="http://schemas.openxmlformats.org/officeDocument/2006/relationships/hyperlink" Target="http://kodeks.duckdns.org/document/112596#st_6" TargetMode="External"/><Relationship Id="rId_ov-t3aofqv4x8qzibaoi" Type="http://schemas.openxmlformats.org/officeDocument/2006/relationships/hyperlink" Target="http://kodeks.duckdns.org/document/112596#st_7" TargetMode="External"/><Relationship Id="rIdnurylrdnoytlxf8j6abus" Type="http://schemas.openxmlformats.org/officeDocument/2006/relationships/hyperlink" Target="http://kodeks.duckdns.org/document/112596#st_10" TargetMode="External"/><Relationship Id="rIdgdcver9sjnozpb6_mf9on" Type="http://schemas.openxmlformats.org/officeDocument/2006/relationships/hyperlink" Target="http://kodeks.duckdns.org/document/112596#st_12" TargetMode="External"/><Relationship Id="rIdy71qqiad-xvlik2ejlw9k" Type="http://schemas.openxmlformats.org/officeDocument/2006/relationships/hyperlink" Target="http://kodeks.duckdns.org/document/112596#st_13" TargetMode="External"/><Relationship Id="rIdhokqthwz-vgbzrb8zewd2" Type="http://schemas.openxmlformats.org/officeDocument/2006/relationships/hyperlink" Target="http://kodeks.duckdns.org/document/112596#st_14" TargetMode="External"/><Relationship Id="rIdxbg82rpjq_lsnmnqkx6gr" Type="http://schemas.openxmlformats.org/officeDocument/2006/relationships/hyperlink" Target="http://kodeks.duckdns.org/document/112596#st_16" TargetMode="External"/><Relationship Id="rIdjobglur44iakijxakfcfb" Type="http://schemas.openxmlformats.org/officeDocument/2006/relationships/hyperlink" Target="http://kodeks.duckdns.org/document/112596#st_18" TargetMode="External"/><Relationship Id="rId55p9hvwsy2dhsyeshyqkt" Type="http://schemas.openxmlformats.org/officeDocument/2006/relationships/hyperlink" Target="http://kodeks.duckdns.org/document/112596#st_18" TargetMode="External"/><Relationship Id="rIdqmzwzeag71zy-thjszine" Type="http://schemas.openxmlformats.org/officeDocument/2006/relationships/hyperlink" Target="http://kodeks.duckdns.org/document/112596#st_23" TargetMode="External"/><Relationship Id="rIdj75_wv7pvr9xkuqldr_lo" Type="http://schemas.openxmlformats.org/officeDocument/2006/relationships/hyperlink" Target="http://kodeks.duckdns.org/document/112596#st_24" TargetMode="External"/><Relationship Id="rIdrqnoxpklxlmfzr9lrpwpf" Type="http://schemas.openxmlformats.org/officeDocument/2006/relationships/hyperlink" Target="http://kodeks.duckdns.org/document/112596#st_26" TargetMode="External"/><Relationship Id="rIdkr5pdimzxjugbaylxvxd0" Type="http://schemas.openxmlformats.org/officeDocument/2006/relationships/hyperlink" Target="http://kodeks.duckdns.org/document/112596#st_33" TargetMode="External"/><Relationship Id="rIdd13s_zlt_9ydzvb08d1mk" Type="http://schemas.openxmlformats.org/officeDocument/2006/relationships/hyperlink" Target="http://kodeks.duckdns.org/document/112596#st_33" TargetMode="External"/><Relationship Id="rId7rlu7cpwd9ok03roq0hmv" Type="http://schemas.openxmlformats.org/officeDocument/2006/relationships/hyperlink" Target="http://kodeks.duckdns.org/document/112596#st_35" TargetMode="External"/><Relationship Id="rIdq0qdj-4jd8xda8ebzx8fi" Type="http://schemas.openxmlformats.org/officeDocument/2006/relationships/hyperlink" Target="http://kodeks.duckdns.org/document/112596#st_3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2026-09-23T11:05:11.649Z</dcterms:created>
  <dcterms:modified xsi:type="dcterms:W3CDTF">2026-09-23T11:05:11.649Z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