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 от 26 декабря 2024 года № 801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Национальной экспортной программы "Сделано в Кыргызстане" на 2025-2028 годы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экспортного потенциала страны и конкурентоспособности отечественной продукции на мировом рынке, в рамках реализации </w:t>
      </w:r>
      <w:hyperlink w:history="1" r:id="rIdvoiyl1t3fv96bs1ohsxh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Национальной программы</w:t>
        </w:r>
      </w:hyperlink>
      <w:r>
        <w:rPr>
          <w:rFonts w:ascii="Arial" w:cs="Arial" w:eastAsia="Arial" w:hAnsi="Arial"/>
          <w:sz w:val="24"/>
          <w:szCs w:val="24"/>
        </w:rPr>
        <w:t xml:space="preserve"> развития Кыргызской Республики до 2026 года, утвержденной </w:t>
      </w:r>
      <w:hyperlink w:history="1" r:id="rIdkoy-7ea23sihnvqoudfe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</w:t>
      </w:r>
      <w:hyperlink w:history="1" r:id="rIdxdbxvcxl72t0-imsfq8p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Национальной программе</w:t>
        </w:r>
      </w:hyperlink>
      <w:r>
        <w:rPr>
          <w:rFonts w:ascii="Arial" w:cs="Arial" w:eastAsia="Arial" w:hAnsi="Arial"/>
          <w:sz w:val="24"/>
          <w:szCs w:val="24"/>
        </w:rPr>
        <w:t xml:space="preserve"> развития Кыргызской Республики до 2026 года" от 12 октября 2021 года № 435,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ig54gjmtwqjbsxtvpavc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Национальную экспортную программу</w:t>
        </w:r>
      </w:hyperlink>
      <w:r>
        <w:rPr>
          <w:rFonts w:ascii="Arial" w:cs="Arial" w:eastAsia="Arial" w:hAnsi="Arial"/>
          <w:sz w:val="24"/>
          <w:szCs w:val="24"/>
        </w:rPr>
        <w:t xml:space="preserve"> "Сделано в Кыргызстане" на 2025-2028 годы согласно приложению 1;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план мероприятий по реализации Национальной экспортной программы "Сделано в Кыргызстане" на 2025-2028 годы (далее - план мероприятий) согласно </w:t>
      </w:r>
      <w:hyperlink w:history="1" r:id="rIdjz2qncidrdfc5sqe8snp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Министерствам и ведомствам, аппаратам полномочных представителей Президента Кыргызской Республики в областях, Национальному банку Кыргызской Республики (по согласованию) и Торгово-промышленной палате Кыргызской Республики (по согласованию):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принять меры по выполнению в полном объеме плана мероприятий, указанного в подпункте 2 пункта 1 настоящего постановления;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ежеквартально, не позднее 15 числа месяца, следующего за отчетным периодом, предоставлять информацию об исполнении вышеуказанного плана мероприятий в Министерство экономики и коммерции Кыргызской Республики для обобщения.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Рекомендовать коммерческим банкам Кыргызской Республики, объединению юридических лиц "Союз банков Кыргызстана", открытому акционерному обществу "Гарантийный фонд", открытому акционерному обществу "Государственная страховая организация", Российско-Кыргызскому Фонду развития, Азербайджанско-Кыргызскому Фонду развития, Узбекско-Кыргызскому Фонду развития, Венгерско-Кыргызскому Фонду развития: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принять меры по выполнению в полном объеме плана мероприятий, указанного в подпункте 2 пункта 1 настоящего постановления;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ежеквартально, не позднее 15 числа месяца, следующего за отчетным периодом, предоставлять информацию об исполнении указанного плана мероприятий в Министерство экономики и коммерции Кыргызской Республики для обобщения.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экономики и коммерции Кыргызской Республики ежеквартально, не позднее 30 числа месяца, следующего за отчетным периодом, предоставлять обобщенную информацию об исполнении плана мероприятий, указанного в подпункте 2 пункта 1 настоящего постановления, в Администрацию Президента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31 декабря 2024 года № 101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А.Касымалиев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ПЛАН МЕРОПРИЯТИЙ
 по реализации Национальной экспортной программы "Сделано в Кыргызстане" на 2025-2028 годы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79"/>
        <w:gridCol w:w="2092"/>
        <w:gridCol w:w="2536"/>
        <w:gridCol w:w="1235"/>
        <w:gridCol w:w="2454"/>
        <w:gridCol w:w="1482"/>
      </w:tblGrid>
      <w:tr>
        <w:tc>
          <w:tcPr>
            <w:tcW w:type="dxa" w:w="3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п/п</w:t>
            </w:r>
          </w:p>
        </w:tc>
        <w:tc>
          <w:tcPr>
            <w:tcW w:type="dxa" w:w="209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Задачи</w:t>
            </w:r>
          </w:p>
        </w:tc>
        <w:tc>
          <w:tcPr>
            <w:tcW w:type="dxa" w:w="25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Меры/Действия</w:t>
            </w:r>
          </w:p>
        </w:tc>
        <w:tc>
          <w:tcPr>
            <w:tcW w:type="dxa" w:w="123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 реализации</w:t>
            </w:r>
          </w:p>
        </w:tc>
        <w:tc>
          <w:tcPr>
            <w:tcW w:type="dxa" w:w="24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Ожидаемые результаты/продукт</w:t>
            </w:r>
          </w:p>
        </w:tc>
        <w:tc>
          <w:tcPr>
            <w:tcW w:type="dxa" w:w="148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Ответственные исполнители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Направление 1. Продвижение экспорта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Цель 1. Создание эффективной системы продвижения экспорта и развития экспортного потенциала</w:t>
            </w:r>
          </w:p>
        </w:tc>
      </w:tr>
      <w:tr>
        <w:tc>
          <w:tcPr>
            <w:tcW w:type="dxa" w:w="37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9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 Усиление государственных механизмов по продвижению экспорта</w:t>
            </w:r>
          </w:p>
        </w:tc>
        <w:tc>
          <w:tcPr>
            <w:tcW w:type="dxa" w:w="2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1.1.1. Проведение исследования потребностей экспортоориентированных компаний, а также лучших мировых практик по развитию экспорта и определение списка услуг в сфере торговой аналитики, экспортного консалтинга и продвижения экспорта</w:t>
            </w:r>
          </w:p>
        </w:tc>
        <w:tc>
          <w:tcPr>
            <w:tcW w:type="dxa" w:w="1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2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 перечень услуг, предоставляемых государственным учреждением по продвижению экспорта</w:t>
            </w:r>
          </w:p>
        </w:tc>
        <w:tc>
          <w:tcPr>
            <w:tcW w:type="dxa" w:w="1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КЭ, МЭК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1.1.2. Проведение обучения персонала по вопросам экспортного консалтинга, торговой аналитики и продвижения экспорта</w:t>
            </w:r>
          </w:p>
        </w:tc>
        <w:tc>
          <w:tcPr>
            <w:tcW w:type="dxa" w:w="1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2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Более 15 сотрудников способны самостоятельно реализовывать услуги по торговой аналитике и продвижению экспорта.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Более 100 компаний ежегодно получают услуги по торговой аналитике и продвижению экспорта</w:t>
            </w:r>
          </w:p>
        </w:tc>
        <w:tc>
          <w:tcPr>
            <w:tcW w:type="dxa" w:w="1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КЭ, МЭК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1.1.3. Разработка Экспортной акселерационной программы по продвижению продукции на целевые рынки (включая критерии отбора, сроки участия, требования к участникам, целевые показатели результатов и др.)</w:t>
            </w:r>
          </w:p>
        </w:tc>
        <w:tc>
          <w:tcPr>
            <w:tcW w:type="dxa" w:w="1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сентября 2025 года</w:t>
            </w:r>
          </w:p>
        </w:tc>
        <w:tc>
          <w:tcPr>
            <w:tcW w:type="dxa" w:w="2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Определены источники финансирования и утвержден бюджет для финансирования Экспортной акселерационной программы.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Заключены соглашения с международными финансовыми институтами и иными партнерами по развитию для реализации Экспортной акселерационной программы.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Утверждено Положение об участии в Экспортной акселерационной программе</w:t>
            </w:r>
          </w:p>
        </w:tc>
        <w:tc>
          <w:tcPr>
            <w:tcW w:type="dxa" w:w="1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КЭ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1.1.4. Реализация Экспортной акселерационной программы</w:t>
            </w:r>
          </w:p>
        </w:tc>
        <w:tc>
          <w:tcPr>
            <w:tcW w:type="dxa" w:w="1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сентября 2028 года</w:t>
            </w:r>
          </w:p>
        </w:tc>
        <w:tc>
          <w:tcPr>
            <w:tcW w:type="dxa" w:w="2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Отобраны не менее 20 пилотных компаний для участия в Экспортной акселерационной программе.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15 пилотных компаний вышли на новые рынки</w:t>
            </w:r>
          </w:p>
        </w:tc>
        <w:tc>
          <w:tcPr>
            <w:tcW w:type="dxa" w:w="1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КЭ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1.1.5. Определение перечня целевых рынков (географическая и товарная диверсификация) и приоритетной продукции для исследования</w:t>
            </w:r>
          </w:p>
        </w:tc>
        <w:tc>
          <w:tcPr>
            <w:tcW w:type="dxa" w:w="1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апреля 2025 года</w:t>
            </w:r>
          </w:p>
        </w:tc>
        <w:tc>
          <w:tcPr>
            <w:tcW w:type="dxa" w:w="2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Определены приоритетные продукции для глубокого исследования, с целью входа на целевые рынки</w:t>
            </w:r>
          </w:p>
        </w:tc>
        <w:tc>
          <w:tcPr>
            <w:tcW w:type="dxa" w:w="1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КЭ, МЭК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1.1.6. Улучшение доступа к информации по целевым рынкам для продвижения продукции экспортеров</w:t>
            </w:r>
          </w:p>
        </w:tc>
        <w:tc>
          <w:tcPr>
            <w:tcW w:type="dxa" w:w="1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2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Проведены кабинетные исследования не менее 44 целевых рынков.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и опубликованы материалы по обзору рыночных возможностей, профилей рынка и секторов, руководств по входу на целевые рынки</w:t>
            </w:r>
          </w:p>
        </w:tc>
        <w:tc>
          <w:tcPr>
            <w:tcW w:type="dxa" w:w="1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КЭ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1.1.7. Составление и регулярное обновление базы данных экспортеров, поставщиков услуг для экспорта</w:t>
            </w:r>
          </w:p>
        </w:tc>
        <w:tc>
          <w:tcPr>
            <w:tcW w:type="dxa" w:w="1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2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Опубликована актуальная база данных экспортеров на веб-сайте export.gov.kg</w:t>
            </w:r>
          </w:p>
        </w:tc>
        <w:tc>
          <w:tcPr>
            <w:tcW w:type="dxa" w:w="1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КЭ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1.1.8. Проведение информационной кампании "Караван экспорта" и встреч с предприятиями во всех регионах</w:t>
            </w:r>
          </w:p>
        </w:tc>
        <w:tc>
          <w:tcPr>
            <w:tcW w:type="dxa" w:w="1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2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Бизнес-сообщество КР информировано о сервисах по продвижению экспорта.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Более 100 компаний ежегодно проходят обучение по вопросам экспорта в рамках программы "Караван экспорта"</w:t>
            </w:r>
          </w:p>
        </w:tc>
        <w:tc>
          <w:tcPr>
            <w:tcW w:type="dxa" w:w="1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КЭ, МЭК, МВРСХПП, МИД, ГНС, ГТС, бизнес-сообщество КР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1.1.9. Определение перечня международных выставок и организация участия экспортеров для входа на целевые рынки</w:t>
            </w:r>
          </w:p>
        </w:tc>
        <w:tc>
          <w:tcPr>
            <w:tcW w:type="dxa" w:w="1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2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основе перечня целевых рынков, определены и отобраны торговые выставки.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Оказана поддержка в подготовке, организации и участии экспортеров в не менее чем 20 международных выставках и содействие в проведении переговоров ежегодно: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- 2025 год - не менее 5 выставок;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- 2026 год - не менее 5 выставок;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- 2027 год - не менее 5 выставок;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- 2028 год - не менее 5 выставок</w:t>
            </w:r>
          </w:p>
        </w:tc>
        <w:tc>
          <w:tcPr>
            <w:tcW w:type="dxa" w:w="1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КЭ, МИД, ТПП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1.1.10. Реализация мероприятий по продвижению продукции на целевые рынки</w:t>
            </w:r>
          </w:p>
        </w:tc>
        <w:tc>
          <w:tcPr>
            <w:tcW w:type="dxa" w:w="1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2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Организовано совместно с дипломатическими миссиями участие в не менее 14 торговых въездных и выездных миссиях на целевые страны ежегодно: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- 2025 год - не менее 4 торговых миссий;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- 2026 год - не менее 4 торговых миссий;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- 2027 год - не менее 4 торговых миссий;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- 2028 год - не менее 2 торговых миссий</w:t>
            </w:r>
          </w:p>
        </w:tc>
        <w:tc>
          <w:tcPr>
            <w:tcW w:type="dxa" w:w="1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КЭ, МИД, МЭК, ТПП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1.1.11. Мобилизация ресурсов для реализации Экспортной акселерационной программы и иных мероприятий по продвижению экспорта на период 2025-2028 гг.</w:t>
            </w:r>
          </w:p>
        </w:tc>
        <w:tc>
          <w:tcPr>
            <w:tcW w:type="dxa" w:w="1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июня 2025 года</w:t>
            </w:r>
          </w:p>
        </w:tc>
        <w:tc>
          <w:tcPr>
            <w:tcW w:type="dxa" w:w="2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Определены мероприятия по продвижению и развитию экспорта, реализуемые при сотрудничестве с международными организациями и проектами по развитию</w:t>
            </w:r>
          </w:p>
        </w:tc>
        <w:tc>
          <w:tcPr>
            <w:tcW w:type="dxa" w:w="1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КЭ, МЭК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9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 Создание эффективного государственно-частного сотрудничества для развития экспортного потенциала</w:t>
            </w:r>
          </w:p>
        </w:tc>
        <w:tc>
          <w:tcPr>
            <w:tcW w:type="dxa" w:w="2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1.2.1. Создание Экспортного совета при КМ КР</w:t>
            </w:r>
          </w:p>
        </w:tc>
        <w:tc>
          <w:tcPr>
            <w:tcW w:type="dxa" w:w="1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июня 2025 года</w:t>
            </w:r>
          </w:p>
        </w:tc>
        <w:tc>
          <w:tcPr>
            <w:tcW w:type="dxa" w:w="2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Сформирован и утвержден состав Экспортного совета при КМ КР</w:t>
            </w:r>
          </w:p>
        </w:tc>
        <w:tc>
          <w:tcPr>
            <w:tcW w:type="dxa" w:w="1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КЭ, бизнес-сообщество КР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1.2.2. Проведение регулярных заседаний Экспортного совета при КМ КР</w:t>
            </w:r>
          </w:p>
        </w:tc>
        <w:tc>
          <w:tcPr>
            <w:tcW w:type="dxa" w:w="1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 в полгода</w:t>
            </w:r>
          </w:p>
        </w:tc>
        <w:tc>
          <w:tcPr>
            <w:tcW w:type="dxa" w:w="2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Выявлены и обсуждены проблемы в реализации Национальной экспортной программы, а также иные проблемы, связанные с экспортом</w:t>
            </w:r>
          </w:p>
        </w:tc>
        <w:tc>
          <w:tcPr>
            <w:tcW w:type="dxa" w:w="1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КЭ, бизнес-сообщество КР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1.2.3. Продвижение сотрудничества между государственными институтами и консалтинговыми компаниями, производителями-экспортерами по продвижению и развитию экспорта</w:t>
            </w:r>
          </w:p>
        </w:tc>
        <w:tc>
          <w:tcPr>
            <w:tcW w:type="dxa" w:w="1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марта 2025 года</w:t>
            </w:r>
          </w:p>
        </w:tc>
        <w:tc>
          <w:tcPr>
            <w:tcW w:type="dxa" w:w="2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 механизм взаимодействия по вопросам продвижения экспорта между консалтинговыми компаниями, производителями-экспортерами и государственными институтами</w:t>
            </w:r>
          </w:p>
        </w:tc>
        <w:tc>
          <w:tcPr>
            <w:tcW w:type="dxa" w:w="1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КЭ, МЭК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9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1.3. Повышение экспортного потенциала предпринимателей из разных секторов и регионов</w:t>
            </w:r>
          </w:p>
        </w:tc>
        <w:tc>
          <w:tcPr>
            <w:tcW w:type="dxa" w:w="2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1.3.1. Создание в регионах страны платформ по повышению навыков и квалификации по развитию экспорта</w:t>
            </w:r>
          </w:p>
        </w:tc>
        <w:tc>
          <w:tcPr>
            <w:tcW w:type="dxa" w:w="1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марта 2025 года</w:t>
            </w:r>
          </w:p>
        </w:tc>
        <w:tc>
          <w:tcPr>
            <w:tcW w:type="dxa" w:w="2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Совместно с бизнес-ассоциациями созданы и регулярно функционируют площадки по повышению экспортного потенциала во всех регионах страны</w:t>
            </w:r>
          </w:p>
        </w:tc>
        <w:tc>
          <w:tcPr>
            <w:tcW w:type="dxa" w:w="1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КЭ, МЭК, ПП ПКР в областях, ТПП (по согласованию), бизнес-сообщество КР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1.3.2. Проведение конкурса "Лучший экспортер Кыргызской Республики"</w:t>
            </w:r>
          </w:p>
        </w:tc>
        <w:tc>
          <w:tcPr>
            <w:tcW w:type="dxa" w:w="1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декабря 2025 года</w:t>
            </w:r>
          </w:p>
        </w:tc>
        <w:tc>
          <w:tcPr>
            <w:tcW w:type="dxa" w:w="2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Вручены награды по различным номинациям. Осуществлено продвижение достижений в сфере экспорта.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Внедрена система поощрения за достижение высоких экспортных показателей</w:t>
            </w:r>
          </w:p>
        </w:tc>
        <w:tc>
          <w:tcPr>
            <w:tcW w:type="dxa" w:w="1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КЭ, МЭК, ТПП (по согласованию), бизнес-сообщество КР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1.3.3. Обучение предпринимателей основам экспортной деятельности (экспортный маркетинг, международные переговоры, экспортные контракты и др.)</w:t>
            </w:r>
          </w:p>
        </w:tc>
        <w:tc>
          <w:tcPr>
            <w:tcW w:type="dxa" w:w="1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2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Обучены представители менеджмента и собственников бизнеса, не менее чем 200 компаний</w:t>
            </w:r>
          </w:p>
        </w:tc>
        <w:tc>
          <w:tcPr>
            <w:tcW w:type="dxa" w:w="1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КЭ, МЭК, ПП ПКР в областях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1.3.4. Проведение программ профессиональных стажировок для менеджеров экспортных компаний по изучению опыта производства продукции и ведения бизнеса за рубежом</w:t>
            </w:r>
          </w:p>
        </w:tc>
        <w:tc>
          <w:tcPr>
            <w:tcW w:type="dxa" w:w="1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2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Проведена стажировка за рубежом для представителей экспортных компаний</w:t>
            </w:r>
          </w:p>
        </w:tc>
        <w:tc>
          <w:tcPr>
            <w:tcW w:type="dxa" w:w="1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КЭ, МИД, ТПП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799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Цель 2. Усиление международной интеграции экспортеров и продвижение бренда "Сделано в Кыргызстане"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9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1.4. Создание условий по повышению международной узнаваемости бренда "Сделано в Кыргызстане"</w:t>
            </w:r>
          </w:p>
        </w:tc>
        <w:tc>
          <w:tcPr>
            <w:tcW w:type="dxa" w:w="2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1.4.1. Разработка концепции по международному продвижению бренда "Сделано в Кыргызстане"</w:t>
            </w:r>
          </w:p>
        </w:tc>
        <w:tc>
          <w:tcPr>
            <w:tcW w:type="dxa" w:w="1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июня 2025 года</w:t>
            </w:r>
          </w:p>
        </w:tc>
        <w:tc>
          <w:tcPr>
            <w:tcW w:type="dxa" w:w="2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Разработана и утверждена концепция по международному продвижению бренда "Сделано в Кыргызстане"</w:t>
            </w:r>
          </w:p>
        </w:tc>
        <w:tc>
          <w:tcPr>
            <w:tcW w:type="dxa" w:w="1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КЭ, МЭК, МИД, МВРСХПП, ТПП (по согласованию), бизнес-сообщество КР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1.4.2. Разработка дизайна национального стенда "Сделано в Кыргызстане" для использования на международных выставках</w:t>
            </w:r>
          </w:p>
        </w:tc>
        <w:tc>
          <w:tcPr>
            <w:tcW w:type="dxa" w:w="1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июня 2025 года</w:t>
            </w:r>
          </w:p>
        </w:tc>
        <w:tc>
          <w:tcPr>
            <w:tcW w:type="dxa" w:w="2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 формат и дизайн стандартного национального стенда "Сделано в Кыргызстане" для использования на международных выставках (размер, дизайн и логистика)</w:t>
            </w:r>
          </w:p>
        </w:tc>
        <w:tc>
          <w:tcPr>
            <w:tcW w:type="dxa" w:w="1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КЭ, ТПП (по согласованию), МЭК, МВРСХПП, МИД, МКИСМП, бизнес-сообщество КР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1.4.3. Разработка брендбука для повышения узнаваемости бренда "Сделано в Кыргызстане"</w:t>
            </w:r>
          </w:p>
        </w:tc>
        <w:tc>
          <w:tcPr>
            <w:tcW w:type="dxa" w:w="1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декабря 2025 года</w:t>
            </w:r>
          </w:p>
        </w:tc>
        <w:tc>
          <w:tcPr>
            <w:tcW w:type="dxa" w:w="2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 и согласован брендбук для повышения узнаваемости бренда "Сделано в Кыргызстане"</w:t>
            </w:r>
          </w:p>
        </w:tc>
        <w:tc>
          <w:tcPr>
            <w:tcW w:type="dxa" w:w="1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КЭ, МИД, МЭК, МВРСХПП, МКИСМП, бизнес-сообщество КР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1.4.4. Разработка медиаконтента для продвижения бренда "Сделано в Кыргызстане"</w:t>
            </w:r>
          </w:p>
        </w:tc>
        <w:tc>
          <w:tcPr>
            <w:tcW w:type="dxa" w:w="1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декабря 2025 года</w:t>
            </w:r>
          </w:p>
        </w:tc>
        <w:tc>
          <w:tcPr>
            <w:tcW w:type="dxa" w:w="2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Подготовлены короткие видеоролики, тизеры для социальных сетей, фотографии для баннеров и растяжек на английском языке и языках целевых рынков</w:t>
            </w:r>
          </w:p>
        </w:tc>
        <w:tc>
          <w:tcPr>
            <w:tcW w:type="dxa" w:w="1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КЭ, МКИСМП, МИД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9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1.5. Усиление роли загранучреждений для продвижения экспорта</w:t>
            </w:r>
          </w:p>
        </w:tc>
        <w:tc>
          <w:tcPr>
            <w:tcW w:type="dxa" w:w="2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1.5.1. Внедрение эффективного механизма по межведомственному взаимодействию между загранучреждениями МИД и КЭ по вопросам сбора торговой информации и организации мероприятий по продвижению экспорта (торговые миссии и выставки)</w:t>
            </w:r>
          </w:p>
        </w:tc>
        <w:tc>
          <w:tcPr>
            <w:tcW w:type="dxa" w:w="1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июня 2025 года</w:t>
            </w:r>
          </w:p>
        </w:tc>
        <w:tc>
          <w:tcPr>
            <w:tcW w:type="dxa" w:w="2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Разработано и утверждено межведомственное положение о взаимодействии и оперативном обмене информацией по вопросам продвижения экспорта, включая, и не ограничиваясь организацией участия в торговых выставках и миссиях, а также сборе и обработке информации</w:t>
            </w:r>
          </w:p>
        </w:tc>
        <w:tc>
          <w:tcPr>
            <w:tcW w:type="dxa" w:w="1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КЭ, МИД, МЭК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1.5.2. Внедрение показателей эффективности деятельности загранучреждений по вопросам продвижения экспорта</w:t>
            </w:r>
          </w:p>
        </w:tc>
        <w:tc>
          <w:tcPr>
            <w:tcW w:type="dxa" w:w="1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июня 2025 года</w:t>
            </w:r>
          </w:p>
        </w:tc>
        <w:tc>
          <w:tcPr>
            <w:tcW w:type="dxa" w:w="2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и внедрены ключевые индикаторы эффективности деятельности загранучреждений по вопросам продвижения экспорта</w:t>
            </w:r>
          </w:p>
        </w:tc>
        <w:tc>
          <w:tcPr>
            <w:tcW w:type="dxa" w:w="1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МИД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Направление 2. Упрощение процедур торговли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Цель 1. Оптимизация внешнеторговых формальностей, уменьшение времени и материальных затрат экспортеров</w:t>
            </w:r>
          </w:p>
        </w:tc>
      </w:tr>
      <w:tr>
        <w:tc>
          <w:tcPr>
            <w:tcW w:type="dxa" w:w="37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09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 Ускорение перемещения товаров через пункты пропуска</w:t>
            </w:r>
          </w:p>
        </w:tc>
        <w:tc>
          <w:tcPr>
            <w:tcW w:type="dxa" w:w="2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2.1.1. Реализация возможностей по самостоятельному таможенному декларированию экспортных товаров</w:t>
            </w:r>
          </w:p>
        </w:tc>
        <w:tc>
          <w:tcPr>
            <w:tcW w:type="dxa" w:w="1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декабря 2025 года</w:t>
            </w:r>
          </w:p>
        </w:tc>
        <w:tc>
          <w:tcPr>
            <w:tcW w:type="dxa" w:w="2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 личный кабинет для участников внешнеэкономической деятельности для подачи таможенной декларации</w:t>
            </w:r>
          </w:p>
        </w:tc>
        <w:tc>
          <w:tcPr>
            <w:tcW w:type="dxa" w:w="1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ГТС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2.1.2. Реализация алгоритмов автоматической регистрации деклараций на автоматический выпуск экспортных товаров</w:t>
            </w:r>
          </w:p>
        </w:tc>
        <w:tc>
          <w:tcPr>
            <w:tcW w:type="dxa" w:w="1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июня 2027 года</w:t>
            </w:r>
          </w:p>
        </w:tc>
        <w:tc>
          <w:tcPr>
            <w:tcW w:type="dxa" w:w="2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Начато функционирование автоматической регистрации таможенных деклараций на товары, помещенные под процедуру экспорта, и автоматическое принятие решений по выпуску товаров для поданных деклараций</w:t>
            </w:r>
          </w:p>
        </w:tc>
        <w:tc>
          <w:tcPr>
            <w:tcW w:type="dxa" w:w="1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ГТС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2.1.3. Внедрение системы электронной очереди на границе с учетом первоочередного порядка прохождения соответствующих товаров</w:t>
            </w:r>
          </w:p>
        </w:tc>
        <w:tc>
          <w:tcPr>
            <w:tcW w:type="dxa" w:w="1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декабря 2025 года</w:t>
            </w:r>
          </w:p>
        </w:tc>
        <w:tc>
          <w:tcPr>
            <w:tcW w:type="dxa" w:w="2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Созданы условия по предварительному получению информации о нагрузке в пункте пропуска и месте в электронной очереди</w:t>
            </w:r>
          </w:p>
        </w:tc>
        <w:tc>
          <w:tcPr>
            <w:tcW w:type="dxa" w:w="1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ГТС, ПС ГКНБ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9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2.2. Упрощение процедуры экспорта приоритетной продукции</w:t>
            </w:r>
          </w:p>
        </w:tc>
        <w:tc>
          <w:tcPr>
            <w:tcW w:type="dxa" w:w="2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2.2.1. Установление отдельной полосы и отдельного подъездного пути для зеленого коридора в пункте пропуска "Ак-Тилек автодорожный"</w:t>
            </w:r>
          </w:p>
        </w:tc>
        <w:tc>
          <w:tcPr>
            <w:tcW w:type="dxa" w:w="1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июня 2027 года</w:t>
            </w:r>
          </w:p>
        </w:tc>
        <w:tc>
          <w:tcPr>
            <w:tcW w:type="dxa" w:w="2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Функционирует отдельная полоса для скоропортящейся продукции</w:t>
            </w:r>
          </w:p>
        </w:tc>
        <w:tc>
          <w:tcPr>
            <w:tcW w:type="dxa" w:w="1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ПС ГКНБ , МТК, МВРСХПП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2.2.2. Обеспечение отличительными знаками транспортных средств, осуществляющих перемещение скоропортящейся продукции через пункты пропуска</w:t>
            </w:r>
          </w:p>
        </w:tc>
        <w:tc>
          <w:tcPr>
            <w:tcW w:type="dxa" w:w="1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декабря 2025 года</w:t>
            </w:r>
          </w:p>
        </w:tc>
        <w:tc>
          <w:tcPr>
            <w:tcW w:type="dxa" w:w="2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Выпущены отличительные знаки для скоропортящихся товаров и применяются транспортными средствами</w:t>
            </w:r>
          </w:p>
        </w:tc>
        <w:tc>
          <w:tcPr>
            <w:tcW w:type="dxa" w:w="1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МВРСХПП, КЭ, МТК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2.2.3. Установление пункта пропуска "Кен-Булун автодорожный" только для транспортных средств со скоропортящейся продукцией</w:t>
            </w:r>
          </w:p>
        </w:tc>
        <w:tc>
          <w:tcPr>
            <w:tcW w:type="dxa" w:w="1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января 2028 года</w:t>
            </w:r>
          </w:p>
        </w:tc>
        <w:tc>
          <w:tcPr>
            <w:tcW w:type="dxa" w:w="2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Функционирование пункта пропуска только для перемещения скоропортящейся продукции</w:t>
            </w:r>
          </w:p>
        </w:tc>
        <w:tc>
          <w:tcPr>
            <w:tcW w:type="dxa" w:w="1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МИД, ПС ГКНБ, МТК, МВРСХПП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Направление 3. Доступ к финансам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Цель 1. Обеспечение экспортерам приоритетных секторов доступа к финансам</w:t>
            </w:r>
          </w:p>
        </w:tc>
      </w:tr>
      <w:tr>
        <w:tc>
          <w:tcPr>
            <w:tcW w:type="dxa" w:w="37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09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3.1. Улучшение доступа к финансам для экспортоориентированных предприятий</w:t>
            </w:r>
          </w:p>
        </w:tc>
        <w:tc>
          <w:tcPr>
            <w:tcW w:type="dxa" w:w="2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3.1.1. Определение механизмов поддержки экспортеров и критериев предоставления финансовой поддержки</w:t>
            </w:r>
          </w:p>
        </w:tc>
        <w:tc>
          <w:tcPr>
            <w:tcW w:type="dxa" w:w="1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марта 2025 года</w:t>
            </w:r>
          </w:p>
        </w:tc>
        <w:tc>
          <w:tcPr>
            <w:tcW w:type="dxa" w:w="2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Определены механизмы и критерии поддержки экспортеров</w:t>
            </w:r>
          </w:p>
        </w:tc>
        <w:tc>
          <w:tcPr>
            <w:tcW w:type="dxa" w:w="1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КЭ, МЭК, НБКР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3.1.2. Совершенствование нормативных правовых актов КР, направленных на расширение использования инструментов торгового финансирования</w:t>
            </w:r>
          </w:p>
        </w:tc>
        <w:tc>
          <w:tcPr>
            <w:tcW w:type="dxa" w:w="1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июня 2025 года</w:t>
            </w:r>
          </w:p>
        </w:tc>
        <w:tc>
          <w:tcPr>
            <w:tcW w:type="dxa" w:w="2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Внесены изменения в нормативные правовые акты КР, направленные на расширение использования коммерческими банками инструментов торгового финансирования</w:t>
            </w:r>
          </w:p>
        </w:tc>
        <w:tc>
          <w:tcPr>
            <w:tcW w:type="dxa" w:w="1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НБКР (по согласованию), коммерческие банки (по согласованию), МЭК, КЭ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3.1.3. Продвижение существующих инструментов торгового финансирования для экспортных операций</w:t>
            </w:r>
          </w:p>
        </w:tc>
        <w:tc>
          <w:tcPr>
            <w:tcW w:type="dxa" w:w="1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сентября 2025 года</w:t>
            </w:r>
          </w:p>
        </w:tc>
        <w:tc>
          <w:tcPr>
            <w:tcW w:type="dxa" w:w="2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Применены существующие инструменты торгового финансирования экспортерами</w:t>
            </w:r>
          </w:p>
        </w:tc>
        <w:tc>
          <w:tcPr>
            <w:tcW w:type="dxa" w:w="1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КЭ, МЭК, коммерческие банки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3.1.4. Разработка и внедрение механизма страхования экспортных операций</w:t>
            </w:r>
          </w:p>
        </w:tc>
        <w:tc>
          <w:tcPr>
            <w:tcW w:type="dxa" w:w="1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декабря 2025 года</w:t>
            </w:r>
          </w:p>
        </w:tc>
        <w:tc>
          <w:tcPr>
            <w:tcW w:type="dxa" w:w="2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 пилотный проект по страхованию экспортных поставок</w:t>
            </w:r>
          </w:p>
        </w:tc>
        <w:tc>
          <w:tcPr>
            <w:tcW w:type="dxa" w:w="1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КЭ, ОАО "Государственная страховая организация"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3.1.5. Увеличение кредитования экспорта коммерческими банками</w:t>
            </w:r>
          </w:p>
        </w:tc>
        <w:tc>
          <w:tcPr>
            <w:tcW w:type="dxa" w:w="1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декабря 2027 года</w:t>
            </w:r>
          </w:p>
        </w:tc>
        <w:tc>
          <w:tcPr>
            <w:tcW w:type="dxa" w:w="2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Увеличено кредитование экспорта коммерческими банками</w:t>
            </w:r>
          </w:p>
        </w:tc>
        <w:tc>
          <w:tcPr>
            <w:tcW w:type="dxa" w:w="1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НБКР (по согласованию), коммерческие банки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3.1.6. Поддержка экспортоориентированных предприятий фондами развития</w:t>
            </w:r>
          </w:p>
        </w:tc>
        <w:tc>
          <w:tcPr>
            <w:tcW w:type="dxa" w:w="1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2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кредитов для экспортоориентированных предприятий определено одним из приоритетных направлений деятельности фондов развития</w:t>
            </w:r>
          </w:p>
        </w:tc>
        <w:tc>
          <w:tcPr>
            <w:tcW w:type="dxa" w:w="1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Фонды развития (РКФР, УКФР, ВКФР, АКФР)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3.1.7. Проведение анализа применимых практик по стимулированию экспортеров через финансирование транспортных расходов</w:t>
            </w:r>
          </w:p>
        </w:tc>
        <w:tc>
          <w:tcPr>
            <w:tcW w:type="dxa" w:w="1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июня 2025 года</w:t>
            </w:r>
          </w:p>
        </w:tc>
        <w:tc>
          <w:tcPr>
            <w:tcW w:type="dxa" w:w="2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 детальный механизм финансирования транспортных расходов экспортеров</w:t>
            </w:r>
          </w:p>
        </w:tc>
        <w:tc>
          <w:tcPr>
            <w:tcW w:type="dxa" w:w="1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КЭ, МЭК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9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3.2. Создание инфраструктуры поддержки частного сектора - экспортеров</w:t>
            </w:r>
          </w:p>
        </w:tc>
        <w:tc>
          <w:tcPr>
            <w:tcW w:type="dxa" w:w="2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3.2.1. Проведение мероприятий с предприятиями-экспортерами по содействию и внедрению системы корпоративного управления предприятием</w:t>
            </w:r>
          </w:p>
        </w:tc>
        <w:tc>
          <w:tcPr>
            <w:tcW w:type="dxa" w:w="1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2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Проведены мероприятия по содействию и внедрению системы корпоративного управления предприятием</w:t>
            </w:r>
          </w:p>
        </w:tc>
        <w:tc>
          <w:tcPr>
            <w:tcW w:type="dxa" w:w="1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Госфиннадзор, ОАО "Гарантийный фонд" (по согласованию), ТПП (по согласованию), бизнес-сообщество КР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3.2.2. Определение одного из приоритетных направлений деятельности ОАО "Гарантийный фонд" - предоставление гарантий для экспортоориентированных предприятий</w:t>
            </w:r>
          </w:p>
        </w:tc>
        <w:tc>
          <w:tcPr>
            <w:tcW w:type="dxa" w:w="1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2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гарантий для экспортоориентированных предприятий определено одним из приоритетных направлений деятельности ОАО "Гарантийный фонд"</w:t>
            </w:r>
          </w:p>
        </w:tc>
        <w:tc>
          <w:tcPr>
            <w:tcW w:type="dxa" w:w="1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"Гарантийный фонд" (по согласованию), коммерческие банки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3.2.3. Внедрение в ОАО "Гарантийный фонд" гарантии для факторинговых операций по сделкам экспортеров</w:t>
            </w:r>
          </w:p>
        </w:tc>
        <w:tc>
          <w:tcPr>
            <w:tcW w:type="dxa" w:w="1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декабря 2025 года</w:t>
            </w:r>
          </w:p>
        </w:tc>
        <w:tc>
          <w:tcPr>
            <w:tcW w:type="dxa" w:w="2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Увеличены факторинговые операции для экспортеров</w:t>
            </w:r>
          </w:p>
        </w:tc>
        <w:tc>
          <w:tcPr>
            <w:tcW w:type="dxa" w:w="1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"Гарантийный фонд" (по согласованию), ОЮЛ "Союз банков Кыргызстана" (по согласованию), коммерческие банки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3.2.4. Внедрение финансового продукта предоставления факторинговых услуг в рамках поставок кыргызских товаров на российский рынок</w:t>
            </w:r>
          </w:p>
        </w:tc>
        <w:tc>
          <w:tcPr>
            <w:tcW w:type="dxa" w:w="1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июня 2025 года</w:t>
            </w:r>
          </w:p>
        </w:tc>
        <w:tc>
          <w:tcPr>
            <w:tcW w:type="dxa" w:w="2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Предоставлены факторинговые услуги отечественным экспортерам-заемщикам РКФР</w:t>
            </w:r>
          </w:p>
        </w:tc>
        <w:tc>
          <w:tcPr>
            <w:tcW w:type="dxa" w:w="1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РКФР (по согласованию)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Направление 4. Национальная инфраструктура качества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Цель 1. Совершенствование правовых механизмов и обеспечение внедрения международных/региональных стандартов</w:t>
            </w:r>
          </w:p>
        </w:tc>
      </w:tr>
      <w:tr>
        <w:tc>
          <w:tcPr>
            <w:tcW w:type="dxa" w:w="37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09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4.1. Обеспечение требований по исполнению санитарных и фитосанитарных мер, ТР ЕАЭС, к продукции импортирующей стороны</w:t>
            </w:r>
          </w:p>
        </w:tc>
        <w:tc>
          <w:tcPr>
            <w:tcW w:type="dxa" w:w="2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4.1.1. Получение сертификатов о признании статусов Международного эпизоотического бюро (при необходимости)</w:t>
            </w:r>
          </w:p>
        </w:tc>
        <w:tc>
          <w:tcPr>
            <w:tcW w:type="dxa" w:w="1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декабря 2028 года</w:t>
            </w:r>
          </w:p>
        </w:tc>
        <w:tc>
          <w:tcPr>
            <w:tcW w:type="dxa" w:w="2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Получены сертификаты о признании статусов Международного эпизоотического бюро</w:t>
            </w:r>
          </w:p>
        </w:tc>
        <w:tc>
          <w:tcPr>
            <w:tcW w:type="dxa" w:w="1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МВРСХПП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4.1.2. Внедрение процедур фитосанитарной сертификации в соответствии с международными стандартами по фитосанитарным мерам ISPM № 7 и № 12</w:t>
            </w:r>
          </w:p>
        </w:tc>
        <w:tc>
          <w:tcPr>
            <w:tcW w:type="dxa" w:w="1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июля 2027 года</w:t>
            </w:r>
          </w:p>
        </w:tc>
        <w:tc>
          <w:tcPr>
            <w:tcW w:type="dxa" w:w="2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Получено признание системы фитосанитарной сертификации странами-импортерами, упрощены поставки на экспортные рынки</w:t>
            </w:r>
          </w:p>
        </w:tc>
        <w:tc>
          <w:tcPr>
            <w:tcW w:type="dxa" w:w="1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МВРСХПП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4.1.3. Разработка и внедрение национальной системы прослеживаемости подкарантинной продукции, включая свежие фрукты, овощи, картофель, сухофрукты, орехи, фасоль</w:t>
            </w:r>
          </w:p>
        </w:tc>
        <w:tc>
          <w:tcPr>
            <w:tcW w:type="dxa" w:w="1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 2027 года</w:t>
            </w:r>
          </w:p>
        </w:tc>
        <w:tc>
          <w:tcPr>
            <w:tcW w:type="dxa" w:w="2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 порядок и внедрена национальная система прослеживаемости для свободного перемещения подкарантинной продукции растительного происхождения</w:t>
            </w:r>
          </w:p>
        </w:tc>
        <w:tc>
          <w:tcPr>
            <w:tcW w:type="dxa" w:w="1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МВРСХПП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4.1.4. Разработка и внедрение национальной системы прослеживаемости животных и продукции животного происхождения "от фермы до прилавка", включая молоко и молочные продукты, мясо и мясные продукты, мед натуральный, продукцию аквакультуры</w:t>
            </w:r>
          </w:p>
        </w:tc>
        <w:tc>
          <w:tcPr>
            <w:tcW w:type="dxa" w:w="1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 2027 года</w:t>
            </w:r>
          </w:p>
        </w:tc>
        <w:tc>
          <w:tcPr>
            <w:tcW w:type="dxa" w:w="2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 порядок и внедрена национальная система прослеживаемости животных и продукции животного происхождения</w:t>
            </w:r>
          </w:p>
        </w:tc>
        <w:tc>
          <w:tcPr>
            <w:tcW w:type="dxa" w:w="1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МВРСХПП, МЗ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4.1.5. Подготовка предложений по актуализации перечней стандартов, в результате применения которых на добровольной основе обеспечивается соблюдение требований ТР ТС/ЕАЭС, а также стандартов, содержащих правила и методы исследований (испытаний) и измерений, в том числе правила отбора образцов, необходимых для применения и исполнения ТР ТС/ЕАЭС и осуществления оценки (подтверждения) соответствия продукции</w:t>
            </w:r>
          </w:p>
        </w:tc>
        <w:tc>
          <w:tcPr>
            <w:tcW w:type="dxa" w:w="1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2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 перечень стандартов к ТР ТС/ЕАЭС направлен в ЕЭК на рассмотрение в отношении: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пищевой продукции по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ТР ТС 021/2011,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ТР ТС 005/2011,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ТР ТС 029/2012,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ТР ТС 023/2011,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ТР ТС 027/2012,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ТР ТС 033/2013,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ТР ЕАЭС 044/2017,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ТР ТС 034/2013,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ТР ЕАЭС 040/2016,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ТР ЕАЭС 051/2021;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отношении продукции легкой промышленности (текстиль и швейные изделия, в т.ч. традиционные изделия ручной работы, обувь) по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ТР ТС 017/2011,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ТР ТС 007/2011</w:t>
            </w:r>
          </w:p>
        </w:tc>
        <w:tc>
          <w:tcPr>
            <w:tcW w:type="dxa" w:w="1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МВРСХПП, МЗ, ЦСМ, ЦВДиЭ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4.1.6. Применение международных, региональных стандартов, стандартов других государств (КНР, КСА, ЕС, ССПЗ и др.) в отношении методов испытаний (исследований) экспортной продукции</w:t>
            </w:r>
          </w:p>
        </w:tc>
        <w:tc>
          <w:tcPr>
            <w:tcW w:type="dxa" w:w="1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2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Приняты международные, региональные стандарты</w:t>
            </w:r>
          </w:p>
        </w:tc>
        <w:tc>
          <w:tcPr>
            <w:tcW w:type="dxa" w:w="1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МВРСХПП, МЗ, ЦСМ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4.1.7. Подписание протоколов о фитосанитарных и ветеринарных требованиях, экспортируемой продукции из КР в КНР</w:t>
            </w:r>
          </w:p>
        </w:tc>
        <w:tc>
          <w:tcPr>
            <w:tcW w:type="dxa" w:w="1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</w:t>
            </w:r>
          </w:p>
        </w:tc>
        <w:tc>
          <w:tcPr>
            <w:tcW w:type="dxa" w:w="2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Расширен перечень подписанных протоколов с КНР по экспорту на рынок КНР фитосанитарной и ветеринарной продукции</w:t>
            </w:r>
          </w:p>
        </w:tc>
        <w:tc>
          <w:tcPr>
            <w:tcW w:type="dxa" w:w="1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МВРСХПП, МИД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4.1.8. Вхождение отечественных предприятий в реестр импортеров ССПЗ о фитосанитарной и ветеринарной продукции</w:t>
            </w:r>
          </w:p>
        </w:tc>
        <w:tc>
          <w:tcPr>
            <w:tcW w:type="dxa" w:w="1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2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Отечественные предприятия зарегистрированы в реестре импортеров ССПЗ</w:t>
            </w:r>
          </w:p>
        </w:tc>
        <w:tc>
          <w:tcPr>
            <w:tcW w:type="dxa" w:w="1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МВРСХПП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4.1.9. Вхождение отечественных предприятий в реестр импортеров ЕС о фитосанитарной и ветеринарной продукции, в соответствии с пищевой безопасностью</w:t>
            </w:r>
          </w:p>
        </w:tc>
        <w:tc>
          <w:tcPr>
            <w:tcW w:type="dxa" w:w="1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2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Отечественные предприятия зарегистрированы в реестре импортеров ЕС</w:t>
            </w:r>
          </w:p>
        </w:tc>
        <w:tc>
          <w:tcPr>
            <w:tcW w:type="dxa" w:w="1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МВРСХПП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9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4.2. Внедрение международных стандартов в системе менеджмента и развития инноваций</w:t>
            </w:r>
          </w:p>
        </w:tc>
        <w:tc>
          <w:tcPr>
            <w:tcW w:type="dxa" w:w="2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4.2.1. Повышение уровня знаний сельхозпроизводителей и соответствующих государственных органов о требованиях Международного стандарта Global G.A.P., а также стандартах НАССР/Кодекса Алиментариус, требованиях ЕАЭС и национального законодательства в области ветеринарии</w:t>
            </w:r>
          </w:p>
        </w:tc>
        <w:tc>
          <w:tcPr>
            <w:tcW w:type="dxa" w:w="1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2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Проведено обучение на регулярной основе</w:t>
            </w:r>
          </w:p>
        </w:tc>
        <w:tc>
          <w:tcPr>
            <w:tcW w:type="dxa" w:w="1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МВРСХПП, МЗ, КЭ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4.2.2. Разработка национального руководства по толкованию (интерпретации) требований стандарта Global G.A.P.</w:t>
            </w:r>
          </w:p>
        </w:tc>
        <w:tc>
          <w:tcPr>
            <w:tcW w:type="dxa" w:w="1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июня 2025 года</w:t>
            </w:r>
          </w:p>
        </w:tc>
        <w:tc>
          <w:tcPr>
            <w:tcW w:type="dxa" w:w="2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 национальный интерпретационный документ по системам комплексных поставок сельскохозяйственной продукции V5.2 (фрукты и овощи) согласно Global G.A.P.</w:t>
            </w:r>
          </w:p>
        </w:tc>
        <w:tc>
          <w:tcPr>
            <w:tcW w:type="dxa" w:w="1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МВРСХПП, МЗ, КЭ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4.2.3. Повышение уровня знаний сельхозпроизводителей и соответствующих государственных органов о ведении органического сельского хозяйства</w:t>
            </w:r>
          </w:p>
        </w:tc>
        <w:tc>
          <w:tcPr>
            <w:tcW w:type="dxa" w:w="1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2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Организовано обучение на регулярной основе</w:t>
            </w:r>
          </w:p>
        </w:tc>
        <w:tc>
          <w:tcPr>
            <w:tcW w:type="dxa" w:w="1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МВРСХПП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4.2.4. Повышение уровня знаний производителей, государственных органов, бизнес-структур в сфере внедрения требований халал-продукции, стандартов систем менеджмента ISO 9001, ISO 14001, ISO 22000, FSSC 22000</w:t>
            </w:r>
          </w:p>
        </w:tc>
        <w:tc>
          <w:tcPr>
            <w:tcW w:type="dxa" w:w="1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2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Проведено обучение на регулярной основе</w:t>
            </w:r>
          </w:p>
        </w:tc>
        <w:tc>
          <w:tcPr>
            <w:tcW w:type="dxa" w:w="1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МВРСХПП, МЗ, МЭК, ЦСМ, Центр "Халал индустрии" при МЭК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4.2.5. Повышение потенциала местных консультантов по системам менеджмента Global G.A.P., ISO 22000, FSSC 22000, ISO 9001, 14001</w:t>
            </w:r>
          </w:p>
        </w:tc>
        <w:tc>
          <w:tcPr>
            <w:tcW w:type="dxa" w:w="1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2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 потенциал консультантов по системам менеджмента Global G.A.P., ISO 22000, FSSC 22000, ISO 9001, 14001</w:t>
            </w:r>
          </w:p>
        </w:tc>
        <w:tc>
          <w:tcPr>
            <w:tcW w:type="dxa" w:w="1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МВРСХПП, ЦСМ, МЗ, КЭ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799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Цель 2. Модернизация институтов по оценке соответствия и метрологии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9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4.3. Достижение достаточной технической компетентности лабораторной инфраструктуры и расширение спектра предоставляемых услуг</w:t>
            </w:r>
          </w:p>
        </w:tc>
        <w:tc>
          <w:tcPr>
            <w:tcW w:type="dxa" w:w="2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4.3.1. Создание ихтиопатологической лаборатории, включая выбор (строительство) помещения, разработку/принятие документов по проведению диагностических исследований, выявлению возбудителей инфекционного и инвазионного заболеваний рыб, водоемов и среды обитания, обучение специалистов ихтиопатологической лаборатории</w:t>
            </w:r>
          </w:p>
        </w:tc>
        <w:tc>
          <w:tcPr>
            <w:tcW w:type="dxa" w:w="1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декабря 2028 года</w:t>
            </w:r>
          </w:p>
        </w:tc>
        <w:tc>
          <w:tcPr>
            <w:tcW w:type="dxa" w:w="2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Запущена в эксплуатацию ихтиопатологическая лаборатория, оказана помощь рыбным хозяйствам и предприятиям</w:t>
            </w:r>
          </w:p>
        </w:tc>
        <w:tc>
          <w:tcPr>
            <w:tcW w:type="dxa" w:w="1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МВРСХПП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4.3.2. Обеспечение бюджетного финансирования затрат, связанных с дооснащением испытательных лабораторий (включая в том числе затраты) на: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приобретение и внедрение международных методик, связанных с дооснащением назначенных лабораторий и проведение испытаний по ним;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приобретение реактивов и референс-материалов;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систематическое участие в программах проверки квалификаций, отвечающих требованиям ISO/IEC 17043</w:t>
            </w:r>
          </w:p>
        </w:tc>
        <w:tc>
          <w:tcPr>
            <w:tcW w:type="dxa" w:w="1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2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 и принят механизм бюджетного финансирования референс лабораторий на проведение испытаний и/или исследований для экспортной продукции</w:t>
            </w:r>
          </w:p>
        </w:tc>
        <w:tc>
          <w:tcPr>
            <w:tcW w:type="dxa" w:w="1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МВРСХПП, МЗ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4.3.3. Создание и усиление потенциала поставщиков программ проверки квалификации на качество в области пищевых продуктов, включая воду</w:t>
            </w:r>
          </w:p>
        </w:tc>
        <w:tc>
          <w:tcPr>
            <w:tcW w:type="dxa" w:w="1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декабря 2028 года</w:t>
            </w:r>
          </w:p>
        </w:tc>
        <w:tc>
          <w:tcPr>
            <w:tcW w:type="dxa" w:w="2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Внедрены и расширены услуги поставщиков программ проверки квалификации на качество в области пищевых продуктов, включая воду, по микробиологическим и химическим показателям</w:t>
            </w:r>
          </w:p>
        </w:tc>
        <w:tc>
          <w:tcPr>
            <w:tcW w:type="dxa" w:w="1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4.3.4. Обучение специалистов лабораторий международным/региональным методам исследований/испытаний в сфере реализации санитарных и фитосанитарных мер для готовой продукции</w:t>
            </w:r>
          </w:p>
        </w:tc>
        <w:tc>
          <w:tcPr>
            <w:tcW w:type="dxa" w:w="1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2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Прошли обучение специалисты лабораторий по методам исследований/испытаний продукции, согласно требованиям международных/региональных стандартов</w:t>
            </w:r>
          </w:p>
        </w:tc>
        <w:tc>
          <w:tcPr>
            <w:tcW w:type="dxa" w:w="1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МВРСХПП, ЦСМ, МЗ, ДПЗ и ГСЭН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4.3.5. Обучение персонала лабораторий предприятий пищевой отрасли и легкой промышленности методам испытаний для целей производственного контроля</w:t>
            </w:r>
          </w:p>
        </w:tc>
        <w:tc>
          <w:tcPr>
            <w:tcW w:type="dxa" w:w="1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2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Проведено обучение персонала лабораторий методам испытаний</w:t>
            </w:r>
          </w:p>
        </w:tc>
        <w:tc>
          <w:tcPr>
            <w:tcW w:type="dxa" w:w="1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МВРСХПП, ЦСМ, МЗ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9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4.4. Усиление потенциала органа по сертификации калибровочных и поверочных лабораторий</w:t>
            </w:r>
          </w:p>
        </w:tc>
        <w:tc>
          <w:tcPr>
            <w:tcW w:type="dxa" w:w="2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4.4.1. Создание органа по сертификации системы менеджмента безопасности пищевой безопасности</w:t>
            </w:r>
          </w:p>
        </w:tc>
        <w:tc>
          <w:tcPr>
            <w:tcW w:type="dxa" w:w="1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июля 2027 года</w:t>
            </w:r>
          </w:p>
        </w:tc>
        <w:tc>
          <w:tcPr>
            <w:tcW w:type="dxa" w:w="2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 орган по сертификации системы менеджмента безопасности в соответствии с ИСО/МЭК 17021, ИСО 22003</w:t>
            </w:r>
          </w:p>
        </w:tc>
        <w:tc>
          <w:tcPr>
            <w:tcW w:type="dxa" w:w="1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ЦСМ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4.4.2. Содействие в создании органа по сертификации сельскохозяйственного органического производства</w:t>
            </w:r>
          </w:p>
        </w:tc>
        <w:tc>
          <w:tcPr>
            <w:tcW w:type="dxa" w:w="1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декабря 2028 года</w:t>
            </w:r>
          </w:p>
        </w:tc>
        <w:tc>
          <w:tcPr>
            <w:tcW w:type="dxa" w:w="2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 орган по сертификации сельскохозяйственного органического производства</w:t>
            </w:r>
          </w:p>
        </w:tc>
        <w:tc>
          <w:tcPr>
            <w:tcW w:type="dxa" w:w="1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МВРСХПП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4.4.3. Подтверждение аккредитации эталонных лабораторий ЦСМ</w:t>
            </w:r>
          </w:p>
        </w:tc>
        <w:tc>
          <w:tcPr>
            <w:tcW w:type="dxa" w:w="1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 2028 года</w:t>
            </w:r>
          </w:p>
        </w:tc>
        <w:tc>
          <w:tcPr>
            <w:tcW w:type="dxa" w:w="2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Подтверждено наличие действующих аттестатов аккредитации эталонных лабораторий</w:t>
            </w:r>
          </w:p>
        </w:tc>
        <w:tc>
          <w:tcPr>
            <w:tcW w:type="dxa" w:w="1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ЦСМ и его территориальные подразделения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4.4.4. Создание государственных (территориальные подразделения ЦСМ) калибровочных лабораторий 2-го уровня по калибровке средств измерений</w:t>
            </w:r>
          </w:p>
        </w:tc>
        <w:tc>
          <w:tcPr>
            <w:tcW w:type="dxa" w:w="1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декабря 2027 года</w:t>
            </w:r>
          </w:p>
        </w:tc>
        <w:tc>
          <w:tcPr>
            <w:tcW w:type="dxa" w:w="2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Созданы и оказывают калибровочные услуги государственные калибровочные лаборатории 2-го уровня. Минимум 3 региональные лаборатории подтвердили техническую компетентность</w:t>
            </w:r>
          </w:p>
        </w:tc>
        <w:tc>
          <w:tcPr>
            <w:tcW w:type="dxa" w:w="1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ЦСМ и его территориальные подразделения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799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Цель 3. Цифровая трансформация национальной инфраструктуры качества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9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4.5. Цифровизация данных об обязательных требованиях к продукции и формам оценки соответствия</w:t>
            </w:r>
          </w:p>
        </w:tc>
        <w:tc>
          <w:tcPr>
            <w:tcW w:type="dxa" w:w="2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4.5.1. Обеспечение выдачи протоколов испытаний, ветеринарных и фитосанитарных сертификатов в электронном виде и ведение электронной базы данных</w:t>
            </w:r>
          </w:p>
        </w:tc>
        <w:tc>
          <w:tcPr>
            <w:tcW w:type="dxa" w:w="1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июля 2027 года</w:t>
            </w:r>
          </w:p>
        </w:tc>
        <w:tc>
          <w:tcPr>
            <w:tcW w:type="dxa" w:w="2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документов в электронном виде и разработка сервиса формирования полного набора данных</w:t>
            </w:r>
          </w:p>
        </w:tc>
        <w:tc>
          <w:tcPr>
            <w:tcW w:type="dxa" w:w="1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МВРСХПП, ГП "ЦЕО" при МЭК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4.5.2. Интеграция национальной информационной системы в сфере фитосанитарии при прослеживаемости подкарантинной продукции, ввезенной и перемещаемой на таможенной территории ЕАЭС</w:t>
            </w:r>
          </w:p>
        </w:tc>
        <w:tc>
          <w:tcPr>
            <w:tcW w:type="dxa" w:w="1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 2028 года</w:t>
            </w:r>
          </w:p>
        </w:tc>
        <w:tc>
          <w:tcPr>
            <w:tcW w:type="dxa" w:w="2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Внедрены и введены в действие общие процессы подкарантинной продукции при прослеживаемости и присоединении к информационной системе ЕАЭС</w:t>
            </w:r>
          </w:p>
        </w:tc>
        <w:tc>
          <w:tcPr>
            <w:tcW w:type="dxa" w:w="1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МВРСХПП, МЗ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4.5.3. Интеграция национальных информационных систем прослеживаемости животных и продукции животного происхождения посредством интегрированной информационной системы ЕАЭС</w:t>
            </w:r>
          </w:p>
        </w:tc>
        <w:tc>
          <w:tcPr>
            <w:tcW w:type="dxa" w:w="1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декабря 2028 года</w:t>
            </w:r>
          </w:p>
        </w:tc>
        <w:tc>
          <w:tcPr>
            <w:tcW w:type="dxa" w:w="2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Внедрены и введены в действие общие процессы прослеживаемости товаров, подлежащих ветеринарному контролю (надзору), и присоединены к информационной системе ЕАЭС</w:t>
            </w:r>
          </w:p>
        </w:tc>
        <w:tc>
          <w:tcPr>
            <w:tcW w:type="dxa" w:w="1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МВРСХПП, МЗ, МЦР, ГП "ЦЕО" при МЭК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4.5.4. Создание и интеграция национальной информационной системы информирования о выявлении опасной (несоответствующей) продукции в рамках ЕАЭС</w:t>
            </w:r>
          </w:p>
        </w:tc>
        <w:tc>
          <w:tcPr>
            <w:tcW w:type="dxa" w:w="1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декабря 2028 года</w:t>
            </w:r>
          </w:p>
        </w:tc>
        <w:tc>
          <w:tcPr>
            <w:tcW w:type="dxa" w:w="2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Внедрены и введены в действие общие процессы по формированию, ведению и использованию системы информирования об опасной продукции ЕАЭС.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Обеспечена надлежащая система защиты и гарантий качества, безопасности обращаемых товаров</w:t>
            </w:r>
          </w:p>
        </w:tc>
        <w:tc>
          <w:tcPr>
            <w:tcW w:type="dxa" w:w="1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МВРСХПП</w:t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Список сокращений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АКФР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Азербайджанско-Кыргызский Фонд развития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БЦИСМ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Бишкекский центр испытаний, сертификации и метрологии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ВКФР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Венгерско-Кыргызский Фонд развития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Госфиннадзор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Служба регулирования и надзора за финансовым рынком при Министерстве экономики и коммерции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ГП "ЦЕО" при МЭК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предприятие "Центр "единого окна" в сфере внешней торговли" при Министерстве экономики и коммерции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ГНС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налоговая служба при Министерстве финансов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ГТС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таможенная служба при Министерстве финансов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ДПЗ и ГСЭН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Департамент профилактики заболеваний и государственного санитарно-эпидемиологического надзора при Министерстве здравоохранения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ЕАЭС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Евразийский экономический союз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ЕС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Европейский Союз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ЕЭК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Евразийская экономическая комиссия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КМ КР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Кабинет Министров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КНР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Китайская Народная Республика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Кыргызская Республика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КСА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Королевство Саудовской Аравии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КЭ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Центр по развитию и продвижению экспорта "Кыргыз Экспорт" при Министерстве экономики и коммерции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здравоохранения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МВРСХПП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водных ресурсов, сельского хозяйства и пищевой промышленности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иностранных дел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МКИСМП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культуры, информации, спорта и молодежной политики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МТК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транспорта и коммуникации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МФ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финансов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МЦР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цифрового развития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МЭК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экономики и коммерции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НБКР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Национальный банк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ПП ПКР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Президента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РКФР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Российско-Кыргызский Фонд развития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СМК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система менеджмента качества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ССПЗ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совет стран Персидского залива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ТПП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Торгово-промышленная палата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Технический регламент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УКФР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Узбекско-Кыргызский Фонд развития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ЦВДиЭ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Центр ветеринарной диагностики и экспертизы Ветеринарной службы при Министерстве водных ресурсов, сельского хозяйства и пищевой промышленности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ЦСМ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Центр по стандартизации и метрологии при Министерстве экономики и коммерции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7vjwd6miynycqaoj1ab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dalil.kg/document/230020699</w:t>
      </w:r>
    </w:hyperlink>
  </w:p>
  <w:p>
    <w:pPr>
      <w:spacing w:after="0" w:before="40"/>
      <w:jc w:val="center"/>
    </w:pPr>
    <w:hyperlink w:history="1" r:id="rIdzsfydqf3p96cishtdjby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oiyl1t3fv96bs1ohsxhq" Type="http://schemas.openxmlformats.org/officeDocument/2006/relationships/hyperlink" Target="https://dalil.kg/document/430700" TargetMode="External"/><Relationship Id="rIdkoy-7ea23sihnvqoudfe8" Type="http://schemas.openxmlformats.org/officeDocument/2006/relationships/hyperlink" Target="https://dalil.kg/document/430699" TargetMode="External"/><Relationship Id="rIdxdbxvcxl72t0-imsfq8pm" Type="http://schemas.openxmlformats.org/officeDocument/2006/relationships/hyperlink" Target="https://dalil.kg/document/430700" TargetMode="External"/><Relationship Id="rIdig54gjmtwqjbsxtvpavcd" Type="http://schemas.openxmlformats.org/officeDocument/2006/relationships/hyperlink" Target="https://dalil.kg/document/230020708" TargetMode="External"/><Relationship Id="rIdjz2qncidrdfc5sqe8snpg" Type="http://schemas.openxmlformats.org/officeDocument/2006/relationships/hyperlink" Target="https://dalil.kg/document/230020699#pr2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7vjwd6miynycqaoj1abf" Type="http://schemas.openxmlformats.org/officeDocument/2006/relationships/hyperlink" Target="https://dalil.kg/document/230020699" TargetMode="External"/><Relationship Id="rIdzsfydqf3p96cishtdjby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2026-09-25T19:46:29.894Z</dcterms:created>
  <dcterms:modified xsi:type="dcterms:W3CDTF">2026-09-25T19:46:29.894Z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