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месте обмена за границей (МОЗГР) для назначенных операторов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почтовой связи стран-членов Международного бюро Всемирного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почтового союза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установления правил функционирования на территории Кыргызской Республики места обмена за границей (МОЗГР) для назначенных операторов почтовой связи стран-членов Международного Бюро Всемирного почтового союза (ВПС).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Термины, определения и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определения и сокращения, используемые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Международное бюро Всемирного почтового союза (далее -ВПС) -</w:t>
      </w:r>
      <w:r>
        <w:rPr>
          <w:rFonts w:ascii="Arial" w:cs="Arial" w:eastAsia="Arial" w:hAnsi="Arial"/>
          <w:sz w:val="24"/>
          <w:szCs w:val="24"/>
        </w:rPr>
        <w:t xml:space="preserve"> международная организация, состоящая из стран-членов, территории которых образуют единую почтовую территорию для взаимного обмена международными почтовыми отправлениями, целями которой являются обеспечение организации и совершенствования почтовых связей и создание в этой области благоприятных условий для развития международного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акты Всемирного почтового союза -</w:t>
      </w:r>
      <w:r>
        <w:rPr>
          <w:rFonts w:ascii="Arial" w:cs="Arial" w:eastAsia="Arial" w:hAnsi="Arial"/>
          <w:sz w:val="24"/>
          <w:szCs w:val="24"/>
        </w:rPr>
        <w:t xml:space="preserve"> документы, принимаемые на Конгрессе Всемирного почтового союза в соответствии с его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национальный оператор почтовой связи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оператор почтовой связи, имеющий стопроцентное участие со стороны государства, созданный в организационно-правовой форме акционерного общества, имеющий технологическую сеть объектов и средств связи, обеспечивающих прием, обработку, доставку, вручение и хранение почтовых отправлений, денежных переводов, выплату пенсий и пособий, а также предоставление нетрадиционных и коммерческих услуг, не запрещенных законодательством Кыргызской Республики, на договорной основе на всей территории республики и за ее пределами;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назначенный оператор почтовой связи стран-членов ВПС -</w:t>
      </w:r>
      <w:r>
        <w:rPr>
          <w:rFonts w:ascii="Arial" w:cs="Arial" w:eastAsia="Arial" w:hAnsi="Arial"/>
          <w:sz w:val="24"/>
          <w:szCs w:val="24"/>
        </w:rPr>
        <w:t xml:space="preserve">оператор почтовой связи иностранного государства, наделенный статусом назначенного оператора почтовой связи государства-члена ВПС;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место обмена за границей (МОЗГР) -</w:t>
      </w:r>
      <w:r>
        <w:rPr>
          <w:rFonts w:ascii="Arial" w:cs="Arial" w:eastAsia="Arial" w:hAnsi="Arial"/>
          <w:sz w:val="24"/>
          <w:szCs w:val="24"/>
        </w:rPr>
        <w:t xml:space="preserve"> место или объект, создаваемый в коммерческих целях и эксплуатируемый назначенным оператором почтовой связи или под ответственностью назначенного оператора почтовой связи на территории другой страны или территории страны-члена ВПС, а не на своей территории, с целью осуществления деятельности на рынках за пределами своей соответствующей национальной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международные почтовые отправления (далее - МПО) -</w:t>
      </w:r>
      <w:r>
        <w:rPr>
          <w:rFonts w:ascii="Arial" w:cs="Arial" w:eastAsia="Arial" w:hAnsi="Arial"/>
          <w:sz w:val="24"/>
          <w:szCs w:val="24"/>
        </w:rPr>
        <w:t xml:space="preserve">посылки и отправления письменной корреспонденции, которые являются объектами почтового обмена в соответствии с актами ВПС, сопровождающиеся документами, предусмотренными актами ВПС, пересылаемые за пределы таможенной территории Евразийского экономического союза (далее - Союза) из мест (учреждений) международного почтового обмена, либо поступающие на таможенную территорию Союза в места (учреждения) международного почтового обмена, либо следующие транзитом через таможенную территорию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• место международного почтового обмена (далее - ММПО) -</w:t>
      </w:r>
      <w:r>
        <w:rPr>
          <w:rFonts w:ascii="Arial" w:cs="Arial" w:eastAsia="Arial" w:hAnsi="Arial"/>
          <w:sz w:val="24"/>
          <w:szCs w:val="24"/>
        </w:rPr>
        <w:t xml:space="preserve">производственный объект назначенного оператора почтовой связи, в котором осуществляется полная обработка входящих и исходящих международных почтовых отправлений, отправка по назначению как внутри страны, так и за её пределы, либо следующих транзитом через таможенную территорию Союза, а также производится таможенный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Получение разрешения на открытие МОЗГР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оператор почтовой связи принимает решение об открытии МОЗГР на территории Кыргызской Республики для назначенного оператора почтовой связи страны-члена ВПС.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разрешения на открытие МОЗГР требуется: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со стороны назначенного оператора почтовой связи страны-члена ВПС на открытие МОЗГР с описанием условий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возможность осуществления деятельности в качестве места обмена за границей (МОЗГР), выданный уполномоченным государственным органом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Обязательства назначенного оператора почтовой связи страны-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члена ВПС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получения разрешения назначенный оператор почтовой связи страны-члена ВПС обязан заключить соглашение о сотрудничестве с национальным оператором почтовой связи и получить код ММПО у ВПС в соответствии с установленными требованиями акта ВПС.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получения кода ММПО МОЗГР на территории Кыргызской Республики назначенный оператор почтовой связи страны-члена ВПС обязан осуществлять деятельность и операции по обработке МПО в МОЗГР на территории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Назначенный оператор почтовой связи страны-члена ВПС обязан соблюдать соглашение с национальным оператором почтовой связи по функционированию МОЗГР в соответствии с актами ВПС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Назначенный оператор почтовой связи страны-члена ВПС в случае получения решения об отзыве разрешения на осуществление деятельности МОЗГР на территории Кыргызской Республики обязан прекратить осуществление такой деятельности с уведомлением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Обязательства национального оператора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оператор почтовой связи с момента заключения соглашения с назначенным оператором почтовой связи страны-члена ВПС в течение трех рабочих дней обязан уведомить Министерство цифрового развития Кыргызской Республики (далее - МЦР) и уполномоченный орган в сфере таможенного дела об открытии на территории Кыргызской Республики МОЗГР с указанием производственного адреса, по которому будет формально зарегистрирован МОЗГР.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Национальный оператор почтовой связи информирует МЦР и уполномоченный орган в сфере таможенного дела об отзыве разрешения на осуществление деятельности МОЗГР в течение трех рабочих дней с момента принятия такого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Взаимоотношения с таможенными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Национальному оператору почтовой связи при представлении интересов назначенного оператора почтовой связи страны-члена ВПС для осуществления своей деятельности необходимо иметь разработанную и утвержденную технологическую схему взаимодействия с таможенным органом, в зоне деятельности которого будет осуществляться деятельность</w:t>
      </w:r>
      <w:r>
        <w:rPr>
          <w:rFonts w:ascii="Arial" w:cs="Arial" w:eastAsia="Arial" w:hAnsi="Arial"/>
          <w:sz w:val="24"/>
          <w:szCs w:val="24"/>
        </w:rPr>
        <w:t xml:space="preserve"> МОЗГР.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h1xpo_4xcts2nqukv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dalil.kg/document/230020733</w:t>
      </w:r>
    </w:hyperlink>
  </w:p>
  <w:p>
    <w:pPr>
      <w:spacing w:after="0" w:before="40"/>
      <w:jc w:val="center"/>
    </w:pPr>
    <w:hyperlink w:history="1" r:id="rIdih_f57ov9v42dehvbek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h1xpo_4xcts2nqukvaw" Type="http://schemas.openxmlformats.org/officeDocument/2006/relationships/hyperlink" Target="https://dalil.kg/document/230020733" TargetMode="External"/><Relationship Id="rIdih_f57ov9v42dehvbek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2026-09-27T16:22:13.305Z</dcterms:created>
  <dcterms:modified xsi:type="dcterms:W3CDTF">2026-09-27T16:22:13.305Z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