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от 20 декабря 2024 года № 816-р</w:t>
      </w:r>
    </w:p>
    <w:p>
      <w:pPr>
        <w:spacing w:after="120"/>
        <w:ind w:firstLine="567"/>
        <w:jc w:val="both"/>
      </w:pPr>
      <w:r>
        <w:rPr>
          <w:rFonts w:ascii="Arial" w:cs="Arial" w:eastAsia="Arial" w:hAnsi="Arial"/>
          <w:sz w:val="24"/>
          <w:szCs w:val="24"/>
        </w:rPr>
        <w:t xml:space="preserve">В целях оказания государственной поддержки аграрному сектору, в соответствии со статьями </w:t>
      </w:r>
      <w:hyperlink w:history="1" r:id="rIdqaipq1th6rggrwr1iai0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l2btva65emmt3s2xday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Внести в </w:t>
      </w:r>
      <w:hyperlink w:history="1" r:id="rIdlicggwefghaumk9mk0d2i">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16 марта 2022 года № 120-р следующие изменения:</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проект "Кредитование агропромышленного комплекса" согласно приложению 1;</w:t>
      </w:r>
    </w:p>
    <w:p>
      <w:pPr>
        <w:spacing w:after="120"/>
        <w:ind w:firstLine="567"/>
        <w:jc w:val="both"/>
      </w:pPr>
      <w:r>
        <w:rPr>
          <w:rFonts w:ascii="Arial" w:cs="Arial" w:eastAsia="Arial" w:hAnsi="Arial"/>
          <w:sz w:val="24"/>
          <w:szCs w:val="24"/>
        </w:rPr>
        <w:t xml:space="preserve">2) проект "Кредитование агропромышленного комплекса путем реализации механизма субсидирования" согласно приложению 2.";</w:t>
      </w:r>
    </w:p>
    <w:p>
      <w:pPr>
        <w:spacing w:after="120"/>
        <w:ind w:firstLine="567"/>
        <w:jc w:val="both"/>
      </w:pPr>
      <w:r>
        <w:rPr>
          <w:rFonts w:ascii="Arial" w:cs="Arial" w:eastAsia="Arial" w:hAnsi="Arial"/>
          <w:sz w:val="24"/>
          <w:szCs w:val="24"/>
        </w:rPr>
        <w:t xml:space="preserve">- пункт 2 дополнить подпунктом 7 следующего содержания:</w:t>
      </w:r>
    </w:p>
    <w:p>
      <w:pPr>
        <w:spacing w:after="120"/>
        <w:ind w:firstLine="567"/>
        <w:jc w:val="both"/>
      </w:pPr>
      <w:r>
        <w:rPr>
          <w:rFonts w:ascii="Arial" w:cs="Arial" w:eastAsia="Arial" w:hAnsi="Arial"/>
          <w:sz w:val="24"/>
          <w:szCs w:val="24"/>
        </w:rPr>
        <w:t xml:space="preserve">"7) Министерству финансов Кыргызской Республики в установленном порядке выделить ОАО "Айыл Банк" 125700000 (сто двадцать пять миллионов семьсот тысяч) сомов на субсидирование процентных ставок для реализации проекта "Кредитование агропромышленного комплекса путем реализации механизма субсидирования" из средств республиканского бюджета на 2024 год.";</w:t>
      </w:r>
    </w:p>
    <w:p>
      <w:pPr>
        <w:spacing w:after="120"/>
        <w:ind w:firstLine="567"/>
        <w:jc w:val="both"/>
      </w:pPr>
      <w:r>
        <w:rPr>
          <w:rFonts w:ascii="Arial" w:cs="Arial" w:eastAsia="Arial" w:hAnsi="Arial"/>
          <w:sz w:val="24"/>
          <w:szCs w:val="24"/>
        </w:rPr>
        <w:t xml:space="preserve">- в пункте 3:</w:t>
      </w:r>
    </w:p>
    <w:p>
      <w:pPr>
        <w:spacing w:after="120"/>
        <w:ind w:firstLine="567"/>
        <w:jc w:val="both"/>
      </w:pPr>
      <w:r>
        <w:rPr>
          <w:rFonts w:ascii="Arial" w:cs="Arial" w:eastAsia="Arial" w:hAnsi="Arial"/>
          <w:sz w:val="24"/>
          <w:szCs w:val="24"/>
        </w:rPr>
        <w:t xml:space="preserve">в абзаце первом аббревиатуру "РСК" заменить словом "Элдик";</w:t>
      </w:r>
    </w:p>
    <w:p>
      <w:pPr>
        <w:spacing w:after="120"/>
        <w:ind w:firstLine="567"/>
        <w:jc w:val="both"/>
      </w:pPr>
      <w:r>
        <w:rPr>
          <w:rFonts w:ascii="Arial" w:cs="Arial" w:eastAsia="Arial" w:hAnsi="Arial"/>
          <w:sz w:val="24"/>
          <w:szCs w:val="24"/>
        </w:rPr>
        <w:t xml:space="preserve">абзац второй и третий изложить в следующей редакции:</w:t>
      </w:r>
    </w:p>
    <w:p>
      <w:pPr>
        <w:spacing w:after="120"/>
        <w:ind w:firstLine="567"/>
        <w:jc w:val="both"/>
      </w:pPr>
      <w:r>
        <w:rPr>
          <w:rFonts w:ascii="Arial" w:cs="Arial" w:eastAsia="Arial" w:hAnsi="Arial"/>
          <w:sz w:val="24"/>
          <w:szCs w:val="24"/>
        </w:rPr>
        <w:t xml:space="preserve">"- обеспечить финансирование и выдачу кредитов хозяйствующим субъектам агропромышленных кластеров, в том числе по исламским принципам, а также лизинговое финансирование на условиях, определенных вышеуказанными проектами;</w:t>
      </w:r>
    </w:p>
    <w:p>
      <w:pPr>
        <w:spacing w:after="120"/>
        <w:ind w:firstLine="567"/>
        <w:jc w:val="both"/>
      </w:pPr>
      <w:r>
        <w:rPr>
          <w:rFonts w:ascii="Arial" w:cs="Arial" w:eastAsia="Arial" w:hAnsi="Arial"/>
          <w:sz w:val="24"/>
          <w:szCs w:val="24"/>
        </w:rPr>
        <w:t xml:space="preserve">- не взимать комиссии и иные сборы при льготном финансировании и кредитовании, в том числе в соответствии с исламскими принципами, а также лизинговом финансировании в рамках реализации указанных проектов.";</w:t>
      </w:r>
    </w:p>
    <w:p>
      <w:pPr>
        <w:spacing w:after="120"/>
        <w:ind w:firstLine="567"/>
        <w:jc w:val="both"/>
      </w:pPr>
      <w:r>
        <w:rPr>
          <w:rFonts w:ascii="Arial" w:cs="Arial" w:eastAsia="Arial" w:hAnsi="Arial"/>
          <w:sz w:val="24"/>
          <w:szCs w:val="24"/>
        </w:rPr>
        <w:t xml:space="preserve">- </w:t>
      </w:r>
      <w:hyperlink w:history="1" r:id="rIdriiegzlp-k-kgczdtmh4z">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распоряжению изложить в редакции согласно </w:t>
      </w:r>
      <w:hyperlink w:history="1" r:id="rId4oczfq2hqcv5usvmsgse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дополнить </w:t>
      </w:r>
      <w:hyperlink w:history="1" r:id="rIdgxqse2tzsjynhmp1cqb5q">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mwc8oxneicjpfdmalgaz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j20ekhzbeho31bnaxou9k">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32"/>
          <w:szCs w:val="32"/>
        </w:rPr>
        <w:t xml:space="preserve">ПРОЕКТ
 "Кредитование агропромышленного комплекса"</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Целью проекта "Кредитование агропромышленного комплекса" (далее - Проект) является обеспечение продовольственной безопасности, рост экспортного потенциала, повышение эффективности реализации </w:t>
      </w:r>
      <w:hyperlink w:history="1" r:id="rIdko3e6hfsdcxkapy30xiz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и стимулирование деятельности хозяйствующих субъектов аграрного сектора путем льготного кредитования, предоставления лизинга и финансирования по исламским принципам посредством развития агропромышленных кластеров, таких как: молоко, мясо, сахар, куриные яйца, овощи и бахчевые культуры, фрукты и ягоды, картофель, растительное масло, зерновые культуры, кукуруза, виноградарство, рыбное хозяйство, хлопок, шерсть и кожа, мед, бобовые культуры, орехоплодные (грецкий орех и иные виды лесной продукции) культуры и органическое производство.</w:t>
      </w:r>
    </w:p>
    <w:p>
      <w:pPr>
        <w:spacing w:after="120"/>
        <w:ind w:firstLine="567"/>
        <w:jc w:val="both"/>
      </w:pPr>
      <w:r>
        <w:rPr>
          <w:rFonts w:ascii="Arial" w:cs="Arial" w:eastAsia="Arial" w:hAnsi="Arial"/>
          <w:sz w:val="24"/>
          <w:szCs w:val="24"/>
        </w:rPr>
        <w:t xml:space="preserve">2. Определения, используемые в Проекте:</w:t>
      </w:r>
    </w:p>
    <w:p>
      <w:pPr>
        <w:spacing w:after="120"/>
        <w:ind w:firstLine="567"/>
        <w:jc w:val="both"/>
      </w:pPr>
      <w:r>
        <w:rPr>
          <w:rFonts w:ascii="Arial" w:cs="Arial" w:eastAsia="Arial" w:hAnsi="Arial"/>
          <w:sz w:val="24"/>
          <w:szCs w:val="24"/>
        </w:rPr>
        <w:t xml:space="preserve">агропромышленный кластер (кластерное объединение) - добровольное объединение, участниками которого являются субъекты сельского хозяйства (агропромышленного комплекса), товаропроизводители, агропромышленные предприятия (предприятия переработки и торгово-логистические центры), экспортоориентированные предприятия и субконтракторы, принимающие участие в едином воспроизводственном процессе от производства сырья до реализации готовой продукции, с включением всех стадий производства сельскохозяйственной продукции.</w:t>
      </w:r>
    </w:p>
    <w:p>
      <w:pPr>
        <w:spacing w:after="120"/>
        <w:ind w:firstLine="567"/>
        <w:jc w:val="both"/>
      </w:pPr>
      <w:r>
        <w:rPr>
          <w:rFonts w:ascii="Arial" w:cs="Arial" w:eastAsia="Arial" w:hAnsi="Arial"/>
          <w:sz w:val="24"/>
          <w:szCs w:val="24"/>
        </w:rPr>
        <w:t xml:space="preserve">Агропромышленный кластер (кластерное объединение) может создаваться на районном и региональном уровнях с учетом территориальной и географической расположенности;</w:t>
      </w:r>
    </w:p>
    <w:p>
      <w:pPr>
        <w:spacing w:after="120"/>
        <w:ind w:firstLine="567"/>
        <w:jc w:val="both"/>
      </w:pPr>
      <w:r>
        <w:rPr>
          <w:rFonts w:ascii="Arial" w:cs="Arial" w:eastAsia="Arial" w:hAnsi="Arial"/>
          <w:sz w:val="24"/>
          <w:szCs w:val="24"/>
        </w:rPr>
        <w:t xml:space="preserve">субъекты сельского хозяйства (агропромышленного комплекса) - сельскохозяйственные (агропродовольственные) товаропроизводители, агропромышленные предприятия (предприятия переработки и торгово-логистические центры), экспортоориентированные предприятия и субконтракторы;</w:t>
      </w:r>
    </w:p>
    <w:p>
      <w:pPr>
        <w:spacing w:after="120"/>
        <w:ind w:firstLine="567"/>
        <w:jc w:val="both"/>
      </w:pPr>
      <w:r>
        <w:rPr>
          <w:rFonts w:ascii="Arial" w:cs="Arial" w:eastAsia="Arial" w:hAnsi="Arial"/>
          <w:sz w:val="24"/>
          <w:szCs w:val="24"/>
        </w:rPr>
        <w:t xml:space="preserve">Совет кластерного развития при Министерстве водных ресурсов, сельского хозяйства и перерабатывающей промышленности Кыргызской Республики (далее - Совет) постоянно действующий совещательный коллегиальный экспертно-консультационный орган в области агропромышленной кластерной политики Кыргызской Республики;</w:t>
      </w:r>
    </w:p>
    <w:p>
      <w:pPr>
        <w:spacing w:after="120"/>
        <w:ind w:firstLine="567"/>
        <w:jc w:val="both"/>
      </w:pPr>
      <w:r>
        <w:rPr>
          <w:rFonts w:ascii="Arial" w:cs="Arial" w:eastAsia="Arial" w:hAnsi="Arial"/>
          <w:sz w:val="24"/>
          <w:szCs w:val="24"/>
        </w:rPr>
        <w:t xml:space="preserve">Состав и Положение о Совете утверждаются решением Министерства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реестр кластеров агропромышленного комплекса Кыргызской Республики (далее - Реестр) - информационная база данных кластерных объединений агропромышленного комплекса Кыргызской Республики. Ответственным лицом по формированию и ведению Реестра является Министерство водных ресурсов, сельского хозяйства и перерабатывающей промышленности Кыргызской Республики. Реестр формируется с целью актуализации, систематизации информации, официального оформления на основе соглашения о создании кластерного объединения и мониторинга деятельности для выработки мер поддержки. Решение о вступлении в кластерное объединение и включении в Реестр участников кластера принимается Советом;</w:t>
      </w:r>
    </w:p>
    <w:p>
      <w:pPr>
        <w:spacing w:after="120"/>
        <w:ind w:firstLine="567"/>
        <w:jc w:val="both"/>
      </w:pPr>
      <w:r>
        <w:rPr>
          <w:rFonts w:ascii="Arial" w:cs="Arial" w:eastAsia="Arial" w:hAnsi="Arial"/>
          <w:sz w:val="24"/>
          <w:szCs w:val="24"/>
        </w:rPr>
        <w:t xml:space="preserve">сельскохозяйственный (агропродовольственный) товаропроизводитель - физические или юридические лица, ведущие личное подсобное хозяйство, производящие сельскохозяйственную, рыбоводческую, агролесоводческую продукцию;</w:t>
      </w:r>
    </w:p>
    <w:p>
      <w:pPr>
        <w:spacing w:after="120"/>
        <w:ind w:firstLine="567"/>
        <w:jc w:val="both"/>
      </w:pPr>
      <w:r>
        <w:rPr>
          <w:rFonts w:ascii="Arial" w:cs="Arial" w:eastAsia="Arial" w:hAnsi="Arial"/>
          <w:sz w:val="24"/>
          <w:szCs w:val="24"/>
        </w:rPr>
        <w:t xml:space="preserve">агрегатор - ключевое звено в агропромышленном кластере (предприятия переработки и/или торгово-логистические центры или индивидуальные предприниматели), которое осуществляет операции по консолидации продукции, изменению состояния продукции (переработка и/или сортировка, и/или упаковка), его формализации (сертификация) и продвижению продукции (маркетинг и сбыт) далее по цепочке добавленной стоимости, а также деятельность по повышению конкурентоспособности регионального продукта и степени глубокой переработки, вокруг которого выстраивается кластер;</w:t>
      </w:r>
    </w:p>
    <w:p>
      <w:pPr>
        <w:spacing w:after="120"/>
        <w:ind w:firstLine="567"/>
        <w:jc w:val="both"/>
      </w:pPr>
      <w:r>
        <w:rPr>
          <w:rFonts w:ascii="Arial" w:cs="Arial" w:eastAsia="Arial" w:hAnsi="Arial"/>
          <w:sz w:val="24"/>
          <w:szCs w:val="24"/>
        </w:rPr>
        <w:t xml:space="preserve">торгово-логистический центр (далее - ТЛЦ) - предприятие, в котором производится объединение сельскохозяйственной продукции с возможностью ее предварительной переработки и/или сортировки, и/или упаковки, и/или хранения с последующей поставкой на сельскохозяйственные и иные рынки;</w:t>
      </w:r>
    </w:p>
    <w:p>
      <w:pPr>
        <w:spacing w:after="120"/>
        <w:ind w:firstLine="567"/>
        <w:jc w:val="both"/>
      </w:pPr>
      <w:r>
        <w:rPr>
          <w:rFonts w:ascii="Arial" w:cs="Arial" w:eastAsia="Arial" w:hAnsi="Arial"/>
          <w:sz w:val="24"/>
          <w:szCs w:val="24"/>
        </w:rPr>
        <w:t xml:space="preserve">субконтракторы - физические или юридические лица, в том числе поставщики, образовательные и научно-исследовательские институты, высшие учебные заведения и другие субъекты, предоставляющие товары или услуги в сфере сельского хозяйства для агрегаторов агропромышленного кластера или сельскохозяйственных (агропродовольственных) товаропроизводителей;</w:t>
      </w:r>
    </w:p>
    <w:p>
      <w:pPr>
        <w:spacing w:after="120"/>
        <w:ind w:firstLine="567"/>
        <w:jc w:val="both"/>
      </w:pPr>
      <w:r>
        <w:rPr>
          <w:rFonts w:ascii="Arial" w:cs="Arial" w:eastAsia="Arial" w:hAnsi="Arial"/>
          <w:sz w:val="24"/>
          <w:szCs w:val="24"/>
        </w:rPr>
        <w:t xml:space="preserve">цепочка добавленной стоимости - полный ассортимент деятельности, необходимой для разработки продукта или услуги, начиная от его концепции через различные этапы производства (включая комбинацию физических изменений и вклад различных представителей услуг) и заканчивая доставкой конечному потребителю и послепродажными услугами;</w:t>
      </w:r>
    </w:p>
    <w:p>
      <w:pPr>
        <w:spacing w:after="120"/>
        <w:ind w:firstLine="567"/>
        <w:jc w:val="both"/>
      </w:pPr>
      <w:r>
        <w:rPr>
          <w:rFonts w:ascii="Arial" w:cs="Arial" w:eastAsia="Arial" w:hAnsi="Arial"/>
          <w:sz w:val="24"/>
          <w:szCs w:val="24"/>
        </w:rPr>
        <w:t xml:space="preserve">кластер органического производства - объединение, включающее субъекты сельского хозяйства, осуществляющие деятельность на основании свидетельства Департамента органического сельского хозяйства при Министерстве водных ресурсов, сельского хозяйства и перерабатывающей промышленности Кыргызской Республики и/или имеющие международные сертификаты на органическое производство;</w:t>
      </w:r>
    </w:p>
    <w:p>
      <w:pPr>
        <w:spacing w:after="120"/>
        <w:ind w:firstLine="567"/>
        <w:jc w:val="both"/>
      </w:pPr>
      <w:r>
        <w:rPr>
          <w:rFonts w:ascii="Arial" w:cs="Arial" w:eastAsia="Arial" w:hAnsi="Arial"/>
          <w:sz w:val="24"/>
          <w:szCs w:val="24"/>
        </w:rPr>
        <w:t xml:space="preserve">соглашение - договор, который заключается на безвозмездной основе между участниками агропромышленного кластера на поставку продукции или оказание услуг.</w:t>
      </w:r>
    </w:p>
    <w:p>
      <w:pPr>
        <w:spacing w:after="120"/>
        <w:ind w:firstLine="567"/>
        <w:jc w:val="both"/>
      </w:pPr>
      <w:r>
        <w:rPr>
          <w:rFonts w:ascii="Arial" w:cs="Arial" w:eastAsia="Arial" w:hAnsi="Arial"/>
          <w:sz w:val="24"/>
          <w:szCs w:val="24"/>
        </w:rPr>
        <w:t xml:space="preserve">3. Стоимость Проекта - 17 млрд. сомов.</w:t>
      </w:r>
    </w:p>
    <w:p>
      <w:pPr>
        <w:spacing w:after="120"/>
        <w:ind w:firstLine="567"/>
        <w:jc w:val="both"/>
      </w:pPr>
      <w:r>
        <w:rPr>
          <w:rFonts w:ascii="Arial" w:cs="Arial" w:eastAsia="Arial" w:hAnsi="Arial"/>
          <w:sz w:val="24"/>
          <w:szCs w:val="24"/>
        </w:rPr>
        <w:t xml:space="preserve">4. Срок реализации Проекта без ограничений на револьверной основе в сроки возврата заемщиками кредитов, установленные в пункте 12 настоящего Проекта.</w:t>
      </w:r>
    </w:p>
    <w:p>
      <w:pPr>
        <w:spacing w:after="120"/>
        <w:ind w:firstLine="567"/>
        <w:jc w:val="both"/>
      </w:pPr>
      <w:r>
        <w:rPr>
          <w:rFonts w:ascii="Arial" w:cs="Arial" w:eastAsia="Arial" w:hAnsi="Arial"/>
          <w:sz w:val="24"/>
          <w:szCs w:val="24"/>
        </w:rPr>
        <w:t xml:space="preserve">5. Начало реализации Проекта - май 2022 года.</w:t>
      </w:r>
    </w:p>
    <w:p>
      <w:pPr>
        <w:spacing w:after="120"/>
        <w:ind w:firstLine="567"/>
        <w:jc w:val="both"/>
      </w:pPr>
      <w:r>
        <w:rPr>
          <w:rFonts w:ascii="Arial" w:cs="Arial" w:eastAsia="Arial" w:hAnsi="Arial"/>
          <w:sz w:val="24"/>
          <w:szCs w:val="24"/>
        </w:rPr>
        <w:t xml:space="preserve">6. Ответственные исполнители:</w:t>
      </w:r>
    </w:p>
    <w:p>
      <w:pPr>
        <w:spacing w:after="120"/>
        <w:ind w:firstLine="567"/>
        <w:jc w:val="both"/>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 Министерство финансов Кыргызской Республики, Министерство экономики и коммерции Кыргызской Республики, открытые акционерные общества (далее - ОАО) "Айыл Банк" и "Элдик Банк".</w:t>
      </w:r>
    </w:p>
    <w:p>
      <w:pPr>
        <w:spacing w:after="240" w:before="200"/>
        <w:jc w:val="center"/>
      </w:pPr>
      <w:r>
        <w:rPr>
          <w:rFonts w:ascii="Arial" w:cs="Arial" w:eastAsia="Arial" w:hAnsi="Arial"/>
          <w:b/>
          <w:bCs/>
          <w:sz w:val="32"/>
          <w:szCs w:val="32"/>
        </w:rPr>
        <w:t xml:space="preserve">2. Описание Проекта</w:t>
      </w:r>
    </w:p>
    <w:p>
      <w:pPr>
        <w:spacing w:after="120"/>
        <w:ind w:firstLine="567"/>
        <w:jc w:val="both"/>
      </w:pPr>
      <w:r>
        <w:rPr>
          <w:rFonts w:ascii="Arial" w:cs="Arial" w:eastAsia="Arial" w:hAnsi="Arial"/>
          <w:sz w:val="24"/>
          <w:szCs w:val="24"/>
        </w:rPr>
        <w:t xml:space="preserve">7. В рамках реализации Проекта льготные кредитные средства будут предоставляться со стороны ОАО "Айыл Банк" и ОАО "Элдик Банк" (далее - банки-участники)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8. Участниками агропромышленных кластеров, имеющими доступ к льготным кредитным средствам по данному Проекту, могут быть хозяйствующие субъекты аграрного сектора, включая вновь образованные предприятия пищевой и перерабатывающей промышленности на основании рекомендации Совета, в соответствии с банковским законодательством и требованиями банков-участников.</w:t>
      </w:r>
    </w:p>
    <w:p>
      <w:pPr>
        <w:spacing w:after="120"/>
        <w:ind w:firstLine="567"/>
        <w:jc w:val="both"/>
      </w:pPr>
      <w:r>
        <w:rPr>
          <w:rFonts w:ascii="Arial" w:cs="Arial" w:eastAsia="Arial" w:hAnsi="Arial"/>
          <w:sz w:val="24"/>
          <w:szCs w:val="24"/>
        </w:rPr>
        <w:t xml:space="preserve">9. Порядок отбора и предоставления кредитов осуществляется в соответствии с требованиями настоящего Проекта, нормативными правовыми актами Национального банка Кыргызской Республики и согласно внутренним процедурным документам коммерческих банков.</w:t>
      </w:r>
    </w:p>
    <w:p>
      <w:pPr>
        <w:spacing w:after="120"/>
        <w:ind w:firstLine="567"/>
        <w:jc w:val="both"/>
      </w:pPr>
      <w:r>
        <w:rPr>
          <w:rFonts w:ascii="Arial" w:cs="Arial" w:eastAsia="Arial" w:hAnsi="Arial"/>
          <w:sz w:val="24"/>
          <w:szCs w:val="24"/>
        </w:rPr>
        <w:t xml:space="preserve">Перечень документов, необходимых для получения кредита, утверждается совместным приказом Министерства водных ресурсов, сельского хозяйства и перерабатывающей промышленности Кыргызской Республики и банками-участниками на основании рекомендации Совета.</w:t>
      </w:r>
    </w:p>
    <w:p>
      <w:pPr>
        <w:spacing w:after="120"/>
        <w:ind w:firstLine="567"/>
        <w:jc w:val="both"/>
      </w:pPr>
      <w:r>
        <w:rPr>
          <w:rFonts w:ascii="Arial" w:cs="Arial" w:eastAsia="Arial" w:hAnsi="Arial"/>
          <w:sz w:val="24"/>
          <w:szCs w:val="24"/>
        </w:rPr>
        <w:t xml:space="preserve">Банки-участники в приоритетном порядке в рамках данного Проекта осуществляют рассмотрение заявок участников на получение льготных кредитов и оформление лизинга. Процесс рассмотрения и выдачи льготного кредита при предоставлении полного пакета документов, запрашиваемых банками-участниками, в размере до 500,0 тыс. сомов осуществляется в течение 15 календарных дней, до 5,0 млн. сомов - в течение 25 календарных дней, свыше 5,0 млн. сомов - в течение 45 календарных дней.</w:t>
      </w:r>
    </w:p>
    <w:p>
      <w:pPr>
        <w:spacing w:after="120"/>
        <w:ind w:firstLine="567"/>
        <w:jc w:val="both"/>
      </w:pPr>
      <w:r>
        <w:rPr>
          <w:rFonts w:ascii="Arial" w:cs="Arial" w:eastAsia="Arial" w:hAnsi="Arial"/>
          <w:sz w:val="24"/>
          <w:szCs w:val="24"/>
        </w:rPr>
        <w:t xml:space="preserve">10. Все риски по возврату выданных кредитов несут банки-участники.</w:t>
      </w:r>
    </w:p>
    <w:p>
      <w:pPr>
        <w:spacing w:after="120"/>
        <w:ind w:firstLine="567"/>
        <w:jc w:val="both"/>
      </w:pPr>
      <w:r>
        <w:rPr>
          <w:rFonts w:ascii="Arial" w:cs="Arial" w:eastAsia="Arial" w:hAnsi="Arial"/>
          <w:sz w:val="24"/>
          <w:szCs w:val="24"/>
        </w:rPr>
        <w:t xml:space="preserve">11. Выделение денежных средств производится для агропромышленных кластеров, указанных в пункте 1 данного Проекта, на общую сумму 17,0 млрд. сомов.</w:t>
      </w:r>
    </w:p>
    <w:p>
      <w:pPr>
        <w:spacing w:after="120"/>
        <w:ind w:firstLine="567"/>
        <w:jc w:val="both"/>
      </w:pPr>
      <w:r>
        <w:rPr>
          <w:rFonts w:ascii="Arial" w:cs="Arial" w:eastAsia="Arial" w:hAnsi="Arial"/>
          <w:sz w:val="24"/>
          <w:szCs w:val="24"/>
        </w:rPr>
        <w:t xml:space="preserve">Денежные средства в размере 17,0 млрд. сомов распределяются в следующем порядке:</w:t>
      </w:r>
    </w:p>
    <w:p>
      <w:pPr>
        <w:spacing w:after="120"/>
        <w:ind w:firstLine="567"/>
        <w:jc w:val="both"/>
      </w:pPr>
      <w:r>
        <w:rPr>
          <w:rFonts w:ascii="Arial" w:cs="Arial" w:eastAsia="Arial" w:hAnsi="Arial"/>
          <w:sz w:val="24"/>
          <w:szCs w:val="24"/>
        </w:rPr>
        <w:t xml:space="preserve">- 12,8 млрд. сомов - для 18 кластеров без распределения между агропромышленными кластерами;</w:t>
      </w:r>
    </w:p>
    <w:p>
      <w:pPr>
        <w:spacing w:after="120"/>
        <w:ind w:firstLine="567"/>
        <w:jc w:val="both"/>
      </w:pPr>
      <w:r>
        <w:rPr>
          <w:rFonts w:ascii="Arial" w:cs="Arial" w:eastAsia="Arial" w:hAnsi="Arial"/>
          <w:sz w:val="24"/>
          <w:szCs w:val="24"/>
        </w:rPr>
        <w:t xml:space="preserve">- 4,2 млрд. сомов - для приобретения в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высокопродуктивных племенных сельскохозяйственных животных и птиц.</w:t>
      </w:r>
    </w:p>
    <w:p>
      <w:pPr>
        <w:spacing w:after="120"/>
        <w:ind w:firstLine="567"/>
        <w:jc w:val="both"/>
      </w:pPr>
      <w:r>
        <w:rPr>
          <w:rFonts w:ascii="Arial" w:cs="Arial" w:eastAsia="Arial" w:hAnsi="Arial"/>
          <w:sz w:val="24"/>
          <w:szCs w:val="24"/>
        </w:rPr>
        <w:t xml:space="preserve">Допускается получение предприятиями переработки и торгово-логистическими центрами и индивидуальными предпринимателями, являющимися единовременно агрегаторами в двух и/или более кластерах, кредитов в кластерах на общую сумму не более или равную 300,0 млн. сомов при условии сохранения платежеспобности агрегатора.</w:t>
      </w:r>
    </w:p>
    <w:p>
      <w:pPr>
        <w:spacing w:after="120"/>
        <w:ind w:firstLine="567"/>
        <w:jc w:val="both"/>
      </w:pPr>
      <w:r>
        <w:rPr>
          <w:rFonts w:ascii="Arial" w:cs="Arial" w:eastAsia="Arial" w:hAnsi="Arial"/>
          <w:sz w:val="24"/>
          <w:szCs w:val="24"/>
        </w:rPr>
        <w:t xml:space="preserve">При выдаче параллельных кредитов совокупная задолженность (остаток основной суммы по ранее полученным кредитам и основная сумма получаемого параллельного кредита) не должна превышать 300,0 млн. сомов.</w:t>
      </w:r>
    </w:p>
    <w:p>
      <w:pPr>
        <w:spacing w:after="120"/>
        <w:ind w:firstLine="567"/>
        <w:jc w:val="both"/>
      </w:pPr>
      <w:r>
        <w:rPr>
          <w:rFonts w:ascii="Arial" w:cs="Arial" w:eastAsia="Arial" w:hAnsi="Arial"/>
          <w:sz w:val="24"/>
          <w:szCs w:val="24"/>
        </w:rPr>
        <w:t xml:space="preserve">12. Кредитование осуществляется на следующих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2724"/>
        <w:gridCol w:w="7128"/>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хозяйствующим субъектам - участникам агропромышленного кластера путем обеспечения льготными кредитными средствами и предоставления в лизинг сельскохозяйственной техники, агропромышленного оборудования, племенных животных и птиц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срок кредитования для категории</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сельскохозяйственных производителей и субконтракторов:</w:t>
            </w:r>
            <w:r>
              <w:rPr>
                <w:rFonts w:ascii="Arial" w:cs="Arial" w:eastAsia="Arial" w:hAnsi="Arial"/>
                <w:sz w:val="24"/>
                <w:szCs w:val="24"/>
              </w:rPr>
              <w:t xml:space="preserve">- до 300,0 тыс. сомов включительно со сроком возврата до 36 месяцев на беззалоговой основе;</w:t>
            </w:r>
            <w:r>
              <w:rPr>
                <w:rFonts w:ascii="Arial" w:cs="Arial" w:eastAsia="Arial" w:hAnsi="Arial"/>
                <w:sz w:val="24"/>
                <w:szCs w:val="24"/>
              </w:rPr>
              <w:t xml:space="preserve">- до 500,0 тыс. сомов включительно со сроком возврата до 36 месяцев под залоговое обеспечение;</w:t>
            </w:r>
            <w:r>
              <w:rPr>
                <w:rFonts w:ascii="Arial" w:cs="Arial" w:eastAsia="Arial" w:hAnsi="Arial"/>
                <w:sz w:val="24"/>
                <w:szCs w:val="24"/>
              </w:rPr>
              <w:t xml:space="preserve">- до 5,0 млн. сомов включительно со сроком возврата до 60 месяцев под залоговое обеспечение.</w:t>
            </w:r>
            <w:r>
              <w:rPr>
                <w:rFonts w:ascii="Arial" w:cs="Arial" w:eastAsia="Arial" w:hAnsi="Arial"/>
                <w:sz w:val="24"/>
                <w:szCs w:val="24"/>
              </w:rPr>
              <w:t xml:space="preserve">2. Для семеноводческих, племенных хозяйств, плодово-ягодных питомников, а также сельскохозяйственных производителей, занимающихся откормом скота и заготовкой кормов, выращиванием пшеницы, - до 50,0 млн. сомов включительно со сроком 60 месяцев под залоговое обеспечение.</w:t>
            </w:r>
            <w:r>
              <w:rPr>
                <w:rFonts w:ascii="Arial" w:cs="Arial" w:eastAsia="Arial" w:hAnsi="Arial"/>
                <w:sz w:val="24"/>
                <w:szCs w:val="24"/>
              </w:rPr>
              <w:t xml:space="preserve">3. Для агрегаторов кластера - до 150,0 млн. сомов включительно со сроком возврата до 60 месяцев под залоговое обеспечение.</w:t>
            </w:r>
            <w:r>
              <w:rPr>
                <w:rFonts w:ascii="Arial" w:cs="Arial" w:eastAsia="Arial" w:hAnsi="Arial"/>
                <w:sz w:val="24"/>
                <w:szCs w:val="24"/>
              </w:rPr>
              <w:t xml:space="preserve">4. Для агрегаторов сахарного кластера - до 300,0 млн. сомов включительно со сроком возврата до 60 месяцев под залоговое обеспечение.</w:t>
            </w:r>
            <w:r>
              <w:rPr>
                <w:rFonts w:ascii="Arial" w:cs="Arial" w:eastAsia="Arial" w:hAnsi="Arial"/>
                <w:sz w:val="24"/>
                <w:szCs w:val="24"/>
              </w:rPr>
              <w:t xml:space="preserve">5. Для агрегаторов, являющихся единовременно агрегаторами в двух и/или более кластерах, допускается получение кредитов в кластерах, участником которых он является, на общую сумму не более или равную 300,0 млн. сомов со сроком возврата до 60 месяцев под залоговое обеспечение.</w:t>
            </w:r>
            <w:r>
              <w:rPr>
                <w:rFonts w:ascii="Arial" w:cs="Arial" w:eastAsia="Arial" w:hAnsi="Arial"/>
                <w:sz w:val="24"/>
                <w:szCs w:val="24"/>
              </w:rPr>
              <w:t xml:space="preserve">6. Для субъектов предпринимательства, получающих финансирование по данному проекту, при получении параллельных кредитов совокупная задолженность (остаток основной суммы по ранее полученным кредитам и основная сумма получаемого по параллельному кредиту) не должна превышать суммы, указанной в подпунктах 1-5 данного пункта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лизинга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лизинга:</w:t>
            </w:r>
            <w:r>
              <w:rPr>
                <w:rFonts w:ascii="Arial" w:cs="Arial" w:eastAsia="Arial" w:hAnsi="Arial"/>
                <w:sz w:val="24"/>
                <w:szCs w:val="24"/>
              </w:rPr>
              <w:t xml:space="preserve">- для сельскохозяйственных производителей и субконтракторов - до 30,0 млн. сомов включительно;</w:t>
            </w:r>
            <w:r>
              <w:rPr>
                <w:rFonts w:ascii="Arial" w:cs="Arial" w:eastAsia="Arial" w:hAnsi="Arial"/>
                <w:sz w:val="24"/>
                <w:szCs w:val="24"/>
              </w:rPr>
              <w:t xml:space="preserve">- для агрегаторов кластера - до 300,0 млн. сомов включительно.</w:t>
            </w:r>
            <w:r>
              <w:rPr>
                <w:rFonts w:ascii="Arial" w:cs="Arial" w:eastAsia="Arial" w:hAnsi="Arial"/>
                <w:sz w:val="24"/>
                <w:szCs w:val="24"/>
              </w:rPr>
              <w:t xml:space="preserve">Срок лизинга - до 84 месяцев с условием первоначального взноса не менее 10 процентов на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высокопродуктивных племенных сельскохозяйственных животных и птиц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предмета лизинга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лизинга обязательно должен быть застрахован клиентом от всех видов возможного ущерба, в том числе связанного с риском гибели, потери, порчи, повреждения и преждевременного износа в страховых компаниях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рефинансирования для агрегаторов</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процентов от выдаваемой суммы кредита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категорий и условия получения кредита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для всех участников агропромышленных кластеров:</w:t>
            </w:r>
            <w:r>
              <w:rPr>
                <w:rFonts w:ascii="Arial" w:cs="Arial" w:eastAsia="Arial" w:hAnsi="Arial"/>
                <w:sz w:val="24"/>
                <w:szCs w:val="24"/>
              </w:rPr>
              <w:t xml:space="preserve">- являться резидентом Кыргызской Республики;</w:t>
            </w:r>
            <w:r>
              <w:rPr>
                <w:rFonts w:ascii="Arial" w:cs="Arial" w:eastAsia="Arial" w:hAnsi="Arial"/>
                <w:sz w:val="24"/>
                <w:szCs w:val="24"/>
              </w:rPr>
              <w:t xml:space="preserve">- агрегатор должен быть членом агропромышленного кластера на основе соглашения, заключенного между участниками кластерного объединения, и надлежащим образом быть зарегистрированным во всех государственных органах Кыргызской Республики, включая Государственную налоговую службу при Министерстве финансов Кыргызской Республики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 в национальной валюте Кыргызской Республики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 по погашению основной суммы кредита - до 24 (двадцати четырех) месяцев включительно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Банки-участники:</w:t>
            </w:r>
            <w:r>
              <w:rPr>
                <w:rFonts w:ascii="Arial" w:cs="Arial" w:eastAsia="Arial" w:hAnsi="Arial"/>
                <w:sz w:val="24"/>
                <w:szCs w:val="24"/>
              </w:rPr>
              <w:t xml:space="preserve">-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w:t>
            </w:r>
            <w:r>
              <w:rPr>
                <w:rFonts w:ascii="Arial" w:cs="Arial" w:eastAsia="Arial" w:hAnsi="Arial"/>
                <w:sz w:val="24"/>
                <w:szCs w:val="24"/>
              </w:rPr>
              <w:t xml:space="preserve">-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кредитования</w:t>
      </w:r>
    </w:p>
    <w:p>
      <w:pPr>
        <w:spacing w:after="120"/>
        <w:ind w:firstLine="567"/>
        <w:jc w:val="both"/>
      </w:pPr>
      <w:r>
        <w:rPr>
          <w:rFonts w:ascii="Arial" w:cs="Arial" w:eastAsia="Arial" w:hAnsi="Arial"/>
          <w:sz w:val="24"/>
          <w:szCs w:val="24"/>
        </w:rPr>
        <w:t xml:space="preserve">13. Основные условия для получения кредитов для субъектов сельского хозяйства, за исключением агрегаторов:</w:t>
      </w:r>
    </w:p>
    <w:p>
      <w:pPr>
        <w:spacing w:after="120"/>
        <w:ind w:firstLine="567"/>
        <w:jc w:val="both"/>
      </w:pPr>
      <w:r>
        <w:rPr>
          <w:rFonts w:ascii="Arial" w:cs="Arial" w:eastAsia="Arial" w:hAnsi="Arial"/>
          <w:sz w:val="24"/>
          <w:szCs w:val="24"/>
        </w:rPr>
        <w:t xml:space="preserve">1) для сельскохозяйственных товаропроизводителей и субконтракторов, получающих кредит свыше 500,0 тыс. сомов - наличие договора с агрегатором кластера на поставку продукции или оказание услуг, или с торгово-логистическими центрами согласно списку, предоставляемому советом агропромышленных кластеров, а для указанных субъектов, получающих кредит в размере до 500,0 тыс. сомов включительно, - договор на поставку или оказание услуг не требуется;</w:t>
      </w:r>
    </w:p>
    <w:p>
      <w:pPr>
        <w:spacing w:after="120"/>
        <w:ind w:firstLine="567"/>
        <w:jc w:val="both"/>
      </w:pPr>
      <w:r>
        <w:rPr>
          <w:rFonts w:ascii="Arial" w:cs="Arial" w:eastAsia="Arial" w:hAnsi="Arial"/>
          <w:sz w:val="24"/>
          <w:szCs w:val="24"/>
        </w:rPr>
        <w:t xml:space="preserve">2) для семеноводческих, племенных хозяйств и плодово-ягодных питомников - наличие договора на поставку агрегаторам не требуется;</w:t>
      </w:r>
    </w:p>
    <w:p>
      <w:pPr>
        <w:spacing w:after="120"/>
        <w:ind w:firstLine="567"/>
        <w:jc w:val="both"/>
      </w:pPr>
      <w:r>
        <w:rPr>
          <w:rFonts w:ascii="Arial" w:cs="Arial" w:eastAsia="Arial" w:hAnsi="Arial"/>
          <w:sz w:val="24"/>
          <w:szCs w:val="24"/>
        </w:rPr>
        <w:t xml:space="preserve">3) для субъектов кластеров органического производства меда, рыбы, орехоплодных (грецкий орех и иные виды лесной продукции) культур и куриных яиц - наличие договора на поставку агрегаторам не требуется.</w:t>
      </w:r>
    </w:p>
    <w:p>
      <w:pPr>
        <w:spacing w:after="120"/>
        <w:ind w:firstLine="567"/>
        <w:jc w:val="both"/>
      </w:pPr>
      <w:r>
        <w:rPr>
          <w:rFonts w:ascii="Arial" w:cs="Arial" w:eastAsia="Arial" w:hAnsi="Arial"/>
          <w:sz w:val="24"/>
          <w:szCs w:val="24"/>
        </w:rPr>
        <w:t xml:space="preserve">14. Основные требования к агрегаторам кластерных объединений:</w:t>
      </w:r>
    </w:p>
    <w:p>
      <w:pPr>
        <w:spacing w:after="120"/>
        <w:ind w:firstLine="567"/>
        <w:jc w:val="both"/>
      </w:pPr>
      <w:r>
        <w:rPr>
          <w:rFonts w:ascii="Arial" w:cs="Arial" w:eastAsia="Arial" w:hAnsi="Arial"/>
          <w:sz w:val="24"/>
          <w:szCs w:val="24"/>
        </w:rPr>
        <w:t xml:space="preserve">1) отсутствие задолженности по налогам и социальным отчислениям, наличие положительной кредитной истории;</w:t>
      </w:r>
    </w:p>
    <w:p>
      <w:pPr>
        <w:spacing w:after="120"/>
        <w:ind w:firstLine="567"/>
        <w:jc w:val="both"/>
      </w:pPr>
      <w:r>
        <w:rPr>
          <w:rFonts w:ascii="Arial" w:cs="Arial" w:eastAsia="Arial" w:hAnsi="Arial"/>
          <w:sz w:val="24"/>
          <w:szCs w:val="24"/>
        </w:rPr>
        <w:t xml:space="preserve">2) наличие регистрации в соответствующих органах в качестве юридического лица и индивидуального предпринимателя. При регистрации/перерегистрации юридического лица или изменении его организационно-правовой формы банки-участники могут учесть прежний опыт клиента, а также в исключительных случаях допустить вновь образованные предприятия, в том числе стартапы, при наличии других подтвержденных источников дохода на основании обоснованной рекомендации Совета;</w:t>
      </w:r>
    </w:p>
    <w:p>
      <w:pPr>
        <w:spacing w:after="120"/>
        <w:ind w:firstLine="567"/>
        <w:jc w:val="both"/>
      </w:pPr>
      <w:r>
        <w:rPr>
          <w:rFonts w:ascii="Arial" w:cs="Arial" w:eastAsia="Arial" w:hAnsi="Arial"/>
          <w:sz w:val="24"/>
          <w:szCs w:val="24"/>
        </w:rPr>
        <w:t xml:space="preserve">3) предоставление бизнес-плана с указанием планируемого количества рабочих мест, объема налоговых и социальных отчислений;</w:t>
      </w:r>
    </w:p>
    <w:p>
      <w:pPr>
        <w:spacing w:after="120"/>
        <w:ind w:firstLine="567"/>
        <w:jc w:val="both"/>
      </w:pPr>
      <w:r>
        <w:rPr>
          <w:rFonts w:ascii="Arial" w:cs="Arial" w:eastAsia="Arial" w:hAnsi="Arial"/>
          <w:sz w:val="24"/>
          <w:szCs w:val="24"/>
        </w:rPr>
        <w:t xml:space="preserve">4) выделение в приоритетном порядке экспортерам сельскохозяйственной продукции при наличии экспортного контракта (количество, сумма, объем);</w:t>
      </w:r>
    </w:p>
    <w:p>
      <w:pPr>
        <w:spacing w:after="120"/>
        <w:ind w:firstLine="567"/>
        <w:jc w:val="both"/>
      </w:pPr>
      <w:r>
        <w:rPr>
          <w:rFonts w:ascii="Arial" w:cs="Arial" w:eastAsia="Arial" w:hAnsi="Arial"/>
          <w:sz w:val="24"/>
          <w:szCs w:val="24"/>
        </w:rPr>
        <w:t xml:space="preserve">5) запрет на выделение кредитных средств компаниям, принадлежащим непосредственно лицам, занимающим государственную и муниципальную должность, в соответствии с законами Кыргызской Республики "</w:t>
      </w:r>
      <w:hyperlink w:history="1" r:id="rIdkfpccp3u1-lqmvhmgf4j3">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 "</w:t>
      </w:r>
      <w:hyperlink w:history="1" r:id="rIdphejqzhhutmht1ksn3y5l">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а также депутатам Жогорку Кенеша Кыргызской Республики.</w:t>
      </w:r>
    </w:p>
    <w:p>
      <w:pPr>
        <w:spacing w:after="240" w:before="200"/>
        <w:jc w:val="center"/>
      </w:pPr>
      <w:r>
        <w:rPr>
          <w:rFonts w:ascii="Arial" w:cs="Arial" w:eastAsia="Arial" w:hAnsi="Arial"/>
          <w:b/>
          <w:bCs/>
          <w:sz w:val="32"/>
          <w:szCs w:val="32"/>
        </w:rPr>
        <w:t xml:space="preserve">4. Назначение кредитных средств</w:t>
      </w:r>
    </w:p>
    <w:p>
      <w:pPr>
        <w:spacing w:after="120"/>
        <w:ind w:firstLine="567"/>
        <w:jc w:val="both"/>
      </w:pPr>
      <w:r>
        <w:rPr>
          <w:rFonts w:ascii="Arial" w:cs="Arial" w:eastAsia="Arial" w:hAnsi="Arial"/>
          <w:sz w:val="24"/>
          <w:szCs w:val="24"/>
        </w:rPr>
        <w:t xml:space="preserve">15. Кредитные средства в рамках данного Проекта выделяются на следующие цели в разрезе агропромышленных кластеров:</w:t>
      </w:r>
    </w:p>
    <w:p>
      <w:pPr>
        <w:spacing w:after="120"/>
        <w:ind w:firstLine="567"/>
        <w:jc w:val="both"/>
      </w:pPr>
      <w:r>
        <w:rPr>
          <w:rFonts w:ascii="Arial" w:cs="Arial" w:eastAsia="Arial" w:hAnsi="Arial"/>
          <w:sz w:val="24"/>
          <w:szCs w:val="24"/>
        </w:rPr>
        <w:t xml:space="preserve">- приобретение основных и оборотных средств, включая сельскохозяйственных животных, птиц, рыб и пчел, необходимых для ведения сельскохозяйственного производства, строительство и модернизацию объекта, а также на приобретение импортного сырья для производства растительного масла, муки и сахара;</w:t>
      </w:r>
    </w:p>
    <w:p>
      <w:pPr>
        <w:spacing w:after="120"/>
        <w:ind w:firstLine="567"/>
        <w:jc w:val="both"/>
      </w:pPr>
      <w:r>
        <w:rPr>
          <w:rFonts w:ascii="Arial" w:cs="Arial" w:eastAsia="Arial" w:hAnsi="Arial"/>
          <w:sz w:val="24"/>
          <w:szCs w:val="24"/>
        </w:rPr>
        <w:t xml:space="preserve">- создание инфраструктуры хозяйства (строительство и улучшение условий содержания животных, кормопроизводства, силосных ям, системы ирригации (бурение скважин, прокладка ирригационных трубопроводов для полива, дождевально-капельной системы), ресурсосберегающих технологий, альтернативных источников энергии, внедрение передовых технологий племенного, семенного дела, питомниководства, тепличного хозяйства, сертификация органики, обеспечение электроснабжения, сооружение быстровозводимых складов, ограждений);</w:t>
      </w:r>
    </w:p>
    <w:p>
      <w:pPr>
        <w:spacing w:after="120"/>
        <w:ind w:firstLine="567"/>
        <w:jc w:val="both"/>
      </w:pPr>
      <w:r>
        <w:rPr>
          <w:rFonts w:ascii="Arial" w:cs="Arial" w:eastAsia="Arial" w:hAnsi="Arial"/>
          <w:sz w:val="24"/>
          <w:szCs w:val="24"/>
        </w:rPr>
        <w:t xml:space="preserve">- племенное и семенное обновление, приобретение посадочного материала (саженцев), оборудования сельскохозяйственного назначения.</w:t>
      </w:r>
    </w:p>
    <w:p>
      <w:pPr>
        <w:spacing w:after="120"/>
        <w:ind w:firstLine="567"/>
        <w:jc w:val="both"/>
      </w:pPr>
      <w:r>
        <w:rPr>
          <w:rFonts w:ascii="Arial" w:cs="Arial" w:eastAsia="Arial" w:hAnsi="Arial"/>
          <w:sz w:val="24"/>
          <w:szCs w:val="24"/>
        </w:rPr>
        <w:t xml:space="preserve">16. Назначение лизинга:</w:t>
      </w:r>
    </w:p>
    <w:p>
      <w:pPr>
        <w:spacing w:after="120"/>
        <w:ind w:firstLine="567"/>
        <w:jc w:val="both"/>
      </w:pPr>
      <w:r>
        <w:rPr>
          <w:rFonts w:ascii="Arial" w:cs="Arial" w:eastAsia="Arial" w:hAnsi="Arial"/>
          <w:sz w:val="24"/>
          <w:szCs w:val="24"/>
        </w:rPr>
        <w:t xml:space="preserve">1) целевой группой предоставления лизинга являются сельскохозяйственные товаропроизводители, перерабатывающие предприятия и предприятия, находящиеся в ведении Министерства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лизинг предоставляется на следующие цели:</w:t>
      </w:r>
    </w:p>
    <w:p>
      <w:pPr>
        <w:spacing w:after="120"/>
        <w:ind w:firstLine="567"/>
        <w:jc w:val="both"/>
      </w:pPr>
      <w:r>
        <w:rPr>
          <w:rFonts w:ascii="Arial" w:cs="Arial" w:eastAsia="Arial" w:hAnsi="Arial"/>
          <w:sz w:val="24"/>
          <w:szCs w:val="24"/>
        </w:rPr>
        <w:t xml:space="preserve">- приобретение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w:t>
      </w:r>
    </w:p>
    <w:p>
      <w:pPr>
        <w:spacing w:after="120"/>
        <w:ind w:firstLine="567"/>
        <w:jc w:val="both"/>
      </w:pPr>
      <w:r>
        <w:rPr>
          <w:rFonts w:ascii="Arial" w:cs="Arial" w:eastAsia="Arial" w:hAnsi="Arial"/>
          <w:sz w:val="24"/>
          <w:szCs w:val="24"/>
        </w:rPr>
        <w:t xml:space="preserve">- приобретение оборудования по переработке сельскохозяйственной продукции;</w:t>
      </w:r>
    </w:p>
    <w:p>
      <w:pPr>
        <w:spacing w:after="120"/>
        <w:ind w:firstLine="567"/>
        <w:jc w:val="both"/>
      </w:pPr>
      <w:r>
        <w:rPr>
          <w:rFonts w:ascii="Arial" w:cs="Arial" w:eastAsia="Arial" w:hAnsi="Arial"/>
          <w:sz w:val="24"/>
          <w:szCs w:val="24"/>
        </w:rPr>
        <w:t xml:space="preserve">- приобретение систем капельного орошения и дождевальных машин, буровых установок для бурения скважин в поливных целях, насосных станций;</w:t>
      </w:r>
    </w:p>
    <w:p>
      <w:pPr>
        <w:spacing w:after="120"/>
        <w:ind w:firstLine="567"/>
        <w:jc w:val="both"/>
      </w:pPr>
      <w:r>
        <w:rPr>
          <w:rFonts w:ascii="Arial" w:cs="Arial" w:eastAsia="Arial" w:hAnsi="Arial"/>
          <w:sz w:val="24"/>
          <w:szCs w:val="24"/>
        </w:rPr>
        <w:t xml:space="preserve">- приобретение высокопродуктивных племенных сельскохозяйственных животных и птиц;</w:t>
      </w:r>
    </w:p>
    <w:p>
      <w:pPr>
        <w:spacing w:after="120"/>
        <w:ind w:firstLine="567"/>
        <w:jc w:val="both"/>
      </w:pPr>
      <w:r>
        <w:rPr>
          <w:rFonts w:ascii="Arial" w:cs="Arial" w:eastAsia="Arial" w:hAnsi="Arial"/>
          <w:sz w:val="24"/>
          <w:szCs w:val="24"/>
        </w:rPr>
        <w:t xml:space="preserve">3) залоговое обеспечение по лизингу:</w:t>
      </w:r>
    </w:p>
    <w:p>
      <w:pPr>
        <w:spacing w:after="120"/>
        <w:ind w:firstLine="567"/>
        <w:jc w:val="both"/>
      </w:pPr>
      <w:r>
        <w:rPr>
          <w:rFonts w:ascii="Arial" w:cs="Arial" w:eastAsia="Arial" w:hAnsi="Arial"/>
          <w:sz w:val="24"/>
          <w:szCs w:val="24"/>
        </w:rPr>
        <w:t xml:space="preserve">- при первоначальном взносе 10 процентов от стоимости лизинга в виде сельскохозяйственной техники гарантией погашения выступает сам предмет лизинга;</w:t>
      </w:r>
    </w:p>
    <w:p>
      <w:pPr>
        <w:spacing w:after="120"/>
        <w:ind w:firstLine="567"/>
        <w:jc w:val="both"/>
      </w:pPr>
      <w:r>
        <w:rPr>
          <w:rFonts w:ascii="Arial" w:cs="Arial" w:eastAsia="Arial" w:hAnsi="Arial"/>
          <w:sz w:val="24"/>
          <w:szCs w:val="24"/>
        </w:rPr>
        <w:t xml:space="preserve">- при первоначальном взносе 10 процентов от стоимости лизинга в виде агропромышленного оборудования и высокопродуктивных племенных сельскохозяйственных животных и птиц гарантией погашения выступает сам предмет лизинга;</w:t>
      </w:r>
    </w:p>
    <w:p>
      <w:pPr>
        <w:spacing w:after="120"/>
        <w:ind w:firstLine="567"/>
        <w:jc w:val="both"/>
      </w:pPr>
      <w:r>
        <w:rPr>
          <w:rFonts w:ascii="Arial" w:cs="Arial" w:eastAsia="Arial" w:hAnsi="Arial"/>
          <w:sz w:val="24"/>
          <w:szCs w:val="24"/>
        </w:rPr>
        <w:t xml:space="preserve">4) объем средств, предусмотренных на предоставление лизинга, составляет 4,2 млрд. сомов, из них:</w:t>
      </w:r>
    </w:p>
    <w:p>
      <w:pPr>
        <w:spacing w:after="120"/>
        <w:ind w:firstLine="567"/>
        <w:jc w:val="both"/>
      </w:pPr>
      <w:r>
        <w:rPr>
          <w:rFonts w:ascii="Arial" w:cs="Arial" w:eastAsia="Arial" w:hAnsi="Arial"/>
          <w:sz w:val="24"/>
          <w:szCs w:val="24"/>
        </w:rPr>
        <w:t xml:space="preserve">- 3,6 млрд. сомов - на приобретение в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из них:</w:t>
      </w:r>
    </w:p>
    <w:p>
      <w:pPr>
        <w:spacing w:after="120"/>
        <w:ind w:firstLine="567"/>
        <w:jc w:val="both"/>
      </w:pPr>
      <w:r>
        <w:rPr>
          <w:rFonts w:ascii="Arial" w:cs="Arial" w:eastAsia="Arial" w:hAnsi="Arial"/>
          <w:sz w:val="24"/>
          <w:szCs w:val="24"/>
        </w:rPr>
        <w:t xml:space="preserve">не менее 2,8 млрд. сомов - ОАО "Айыл Банк";</w:t>
      </w:r>
    </w:p>
    <w:p>
      <w:pPr>
        <w:spacing w:after="120"/>
        <w:ind w:firstLine="567"/>
        <w:jc w:val="both"/>
      </w:pPr>
      <w:r>
        <w:rPr>
          <w:rFonts w:ascii="Arial" w:cs="Arial" w:eastAsia="Arial" w:hAnsi="Arial"/>
          <w:sz w:val="24"/>
          <w:szCs w:val="24"/>
        </w:rPr>
        <w:t xml:space="preserve">не менее 800,0 млн. сомов - ОАО "Элдик Банк";</w:t>
      </w:r>
    </w:p>
    <w:p>
      <w:pPr>
        <w:spacing w:after="120"/>
        <w:ind w:firstLine="567"/>
        <w:jc w:val="both"/>
      </w:pPr>
      <w:r>
        <w:rPr>
          <w:rFonts w:ascii="Arial" w:cs="Arial" w:eastAsia="Arial" w:hAnsi="Arial"/>
          <w:sz w:val="24"/>
          <w:szCs w:val="24"/>
        </w:rPr>
        <w:t xml:space="preserve">- не более 600,0 млн. сомов - на приобретение высокопродуктивных племенных сельскохозяйственных животных и птиц, из них:</w:t>
      </w:r>
    </w:p>
    <w:p>
      <w:pPr>
        <w:spacing w:after="120"/>
        <w:ind w:firstLine="567"/>
        <w:jc w:val="both"/>
      </w:pPr>
      <w:r>
        <w:rPr>
          <w:rFonts w:ascii="Arial" w:cs="Arial" w:eastAsia="Arial" w:hAnsi="Arial"/>
          <w:sz w:val="24"/>
          <w:szCs w:val="24"/>
        </w:rPr>
        <w:t xml:space="preserve">не более 400,0 млн. сомов - ОАО "Айыл Банк";</w:t>
      </w:r>
    </w:p>
    <w:p>
      <w:pPr>
        <w:spacing w:after="120"/>
        <w:ind w:firstLine="567"/>
        <w:jc w:val="both"/>
      </w:pPr>
      <w:r>
        <w:rPr>
          <w:rFonts w:ascii="Arial" w:cs="Arial" w:eastAsia="Arial" w:hAnsi="Arial"/>
          <w:sz w:val="24"/>
          <w:szCs w:val="24"/>
        </w:rPr>
        <w:t xml:space="preserve">не более 200,0 млн. сомов - ОАО "Элдик Банк";</w:t>
      </w:r>
    </w:p>
    <w:p>
      <w:pPr>
        <w:spacing w:after="120"/>
        <w:ind w:firstLine="567"/>
        <w:jc w:val="both"/>
      </w:pPr>
      <w:r>
        <w:rPr>
          <w:rFonts w:ascii="Arial" w:cs="Arial" w:eastAsia="Arial" w:hAnsi="Arial"/>
          <w:sz w:val="24"/>
          <w:szCs w:val="24"/>
        </w:rPr>
        <w:t xml:space="preserve">5) предмет лизинга должен быть застрахован клиентом от всех видов возможного ущерба, в том числе связанного с риском гибели, потери, порчи, повреждения и болезней;</w:t>
      </w:r>
    </w:p>
    <w:p>
      <w:pPr>
        <w:spacing w:after="120"/>
        <w:ind w:firstLine="567"/>
        <w:jc w:val="both"/>
      </w:pPr>
      <w:r>
        <w:rPr>
          <w:rFonts w:ascii="Arial" w:cs="Arial" w:eastAsia="Arial" w:hAnsi="Arial"/>
          <w:sz w:val="24"/>
          <w:szCs w:val="24"/>
        </w:rPr>
        <w:t xml:space="preserve">6) запрет на выделение лизинга компаниям, принадлежащим непосредственно лицам, занимающим государственную и муниципальную должность, в соответствии с законами Кыргызской Республики "</w:t>
      </w:r>
      <w:hyperlink w:history="1" r:id="rId3sd2kns3wlolzzu_huasn">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 "</w:t>
      </w:r>
      <w:hyperlink w:history="1" r:id="rIdcnvn35mngrolmcbdxueld">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а также депутатам Жогорку Кенеша Кыргызской Республики.</w:t>
      </w:r>
    </w:p>
    <w:p>
      <w:pPr>
        <w:spacing w:after="240" w:before="200"/>
        <w:jc w:val="center"/>
      </w:pPr>
      <w:r>
        <w:rPr>
          <w:rFonts w:ascii="Arial" w:cs="Arial" w:eastAsia="Arial" w:hAnsi="Arial"/>
          <w:b/>
          <w:bCs/>
          <w:sz w:val="32"/>
          <w:szCs w:val="32"/>
        </w:rPr>
        <w:t xml:space="preserve">4.1. Условия рефинансирования</w:t>
      </w:r>
    </w:p>
    <w:p>
      <w:pPr>
        <w:spacing w:after="120"/>
        <w:ind w:firstLine="567"/>
        <w:jc w:val="both"/>
      </w:pPr>
      <w:r>
        <w:rPr>
          <w:rFonts w:ascii="Arial" w:cs="Arial" w:eastAsia="Arial" w:hAnsi="Arial"/>
          <w:sz w:val="24"/>
          <w:szCs w:val="24"/>
        </w:rPr>
        <w:t xml:space="preserve">17. Банки-участники могут направить не более 30 процентов общего объема кредитных средств в рамках реализации настоящего Проекта на рефинансирование задолженностей по предыдущим кредитам агрегаторов, полученным в финансово-кредитных учреждениях Кыргызской Республики, за исключением потребительских и ипотечных кредитов, при условии наличия положительной кредитной истории. При этом на каждого заемщика предусматривается рефинансирование не более 30 процентов выдаваемой суммы кредита.</w:t>
      </w:r>
    </w:p>
    <w:p>
      <w:pPr>
        <w:spacing w:after="120"/>
        <w:ind w:firstLine="567"/>
        <w:jc w:val="both"/>
      </w:pPr>
      <w:r>
        <w:rPr>
          <w:rFonts w:ascii="Arial" w:cs="Arial" w:eastAsia="Arial" w:hAnsi="Arial"/>
          <w:sz w:val="24"/>
          <w:szCs w:val="24"/>
        </w:rPr>
        <w:t xml:space="preserve">В исключительных случаях на основании обоснованной рекомендации Совета предусматривается рефинансирование не более 50 процентов выдаваемой суммы кредита на одного агрегатора.</w:t>
      </w:r>
    </w:p>
    <w:p>
      <w:pPr>
        <w:spacing w:after="120"/>
        <w:ind w:firstLine="567"/>
        <w:jc w:val="both"/>
      </w:pPr>
      <w:r>
        <w:rPr>
          <w:rFonts w:ascii="Arial" w:cs="Arial" w:eastAsia="Arial" w:hAnsi="Arial"/>
          <w:sz w:val="24"/>
          <w:szCs w:val="24"/>
        </w:rPr>
        <w:t xml:space="preserve">18. Банки-участники не вправе производить рефинансирование задолженностей агрегаторов по кредиту, ранее полученному в рамках реализации проекта "Кредитование агропромышленного комплекса".</w:t>
      </w:r>
    </w:p>
    <w:p>
      <w:pPr>
        <w:spacing w:after="240" w:before="200"/>
        <w:jc w:val="center"/>
      </w:pPr>
      <w:r>
        <w:rPr>
          <w:rFonts w:ascii="Arial" w:cs="Arial" w:eastAsia="Arial" w:hAnsi="Arial"/>
          <w:b/>
          <w:bCs/>
          <w:sz w:val="32"/>
          <w:szCs w:val="32"/>
        </w:rPr>
        <w:t xml:space="preserve">4.2. Условия обеспечения кредита участниками агропромышленных кластеров</w:t>
      </w:r>
    </w:p>
    <w:p>
      <w:pPr>
        <w:spacing w:after="120"/>
        <w:ind w:firstLine="567"/>
        <w:jc w:val="both"/>
      </w:pPr>
      <w:r>
        <w:rPr>
          <w:rFonts w:ascii="Arial" w:cs="Arial" w:eastAsia="Arial" w:hAnsi="Arial"/>
          <w:sz w:val="24"/>
          <w:szCs w:val="24"/>
        </w:rPr>
        <w:t xml:space="preserve">19. Предоставление обеспечения производится на следующих условиях:</w:t>
      </w:r>
    </w:p>
    <w:p>
      <w:pPr>
        <w:spacing w:after="120"/>
        <w:ind w:firstLine="567"/>
        <w:jc w:val="both"/>
      </w:pPr>
      <w:r>
        <w:rPr>
          <w:rFonts w:ascii="Arial" w:cs="Arial" w:eastAsia="Arial" w:hAnsi="Arial"/>
          <w:sz w:val="24"/>
          <w:szCs w:val="24"/>
        </w:rPr>
        <w:t xml:space="preserve">1) банки-участники могут признавать в качестве обеспечения гарантии ОАО "Гарантийный фонд" и гарантии Российско-Кыргызского Фонда развития без предоставления дополнительного обеспечения;</w:t>
      </w:r>
    </w:p>
    <w:p>
      <w:pPr>
        <w:spacing w:after="120"/>
        <w:ind w:firstLine="567"/>
        <w:jc w:val="both"/>
      </w:pPr>
      <w:r>
        <w:rPr>
          <w:rFonts w:ascii="Arial" w:cs="Arial" w:eastAsia="Arial" w:hAnsi="Arial"/>
          <w:sz w:val="24"/>
          <w:szCs w:val="24"/>
        </w:rPr>
        <w:t xml:space="preserve">2) банки-участники могут принимать поручительства учредителей и третьих лиц в обеспечение кредита;</w:t>
      </w:r>
    </w:p>
    <w:p>
      <w:pPr>
        <w:spacing w:after="120"/>
        <w:ind w:firstLine="567"/>
        <w:jc w:val="both"/>
      </w:pPr>
      <w:r>
        <w:rPr>
          <w:rFonts w:ascii="Arial" w:cs="Arial" w:eastAsia="Arial" w:hAnsi="Arial"/>
          <w:sz w:val="24"/>
          <w:szCs w:val="24"/>
        </w:rPr>
        <w:t xml:space="preserve">3) агрегаторы кластера имеют право выставлять, а банки-участники соответственно могут принимать в качестве обеспечения кредита выпущенную нескоропортящуюся сельскохозяйственную продукцию;</w:t>
      </w:r>
    </w:p>
    <w:p>
      <w:pPr>
        <w:spacing w:after="120"/>
        <w:ind w:firstLine="567"/>
        <w:jc w:val="both"/>
      </w:pPr>
      <w:r>
        <w:rPr>
          <w:rFonts w:ascii="Arial" w:cs="Arial" w:eastAsia="Arial" w:hAnsi="Arial"/>
          <w:sz w:val="24"/>
          <w:szCs w:val="24"/>
        </w:rPr>
        <w:t xml:space="preserve">4) банки-участники могут принимать в качестве обеспечения кредита складские расписки заемщиков, подтвержденные или включенные в реестр складских расписок Службы реагирования и надзора за финансовым рынком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5) при устойчивом денежном потоке агрегатора кластера за последние 3 года банки-участники могут принимать в качестве обеспечения кредита их оборотные средства (реальные денежные потоки) на основании договора безакцептного снятия, если все расчетные средства будут обслуживаться в банке, выдающем кредит;</w:t>
      </w:r>
    </w:p>
    <w:p>
      <w:pPr>
        <w:spacing w:after="120"/>
        <w:ind w:firstLine="567"/>
        <w:jc w:val="both"/>
      </w:pPr>
      <w:r>
        <w:rPr>
          <w:rFonts w:ascii="Arial" w:cs="Arial" w:eastAsia="Arial" w:hAnsi="Arial"/>
          <w:sz w:val="24"/>
          <w:szCs w:val="24"/>
        </w:rPr>
        <w:t xml:space="preserve">6) банки-участники могут принимать в качестве обеспечения кредита строящийся производственный объект, включая производственные и непроизводственные помещения, а также агропромышленное оборудование и используемое тепличное оборудование;</w:t>
      </w:r>
    </w:p>
    <w:p>
      <w:pPr>
        <w:spacing w:after="120"/>
        <w:ind w:firstLine="567"/>
        <w:jc w:val="both"/>
      </w:pPr>
      <w:r>
        <w:rPr>
          <w:rFonts w:ascii="Arial" w:cs="Arial" w:eastAsia="Arial" w:hAnsi="Arial"/>
          <w:sz w:val="24"/>
          <w:szCs w:val="24"/>
        </w:rPr>
        <w:t xml:space="preserve">7) земельный участок, находящийся в частной собственности, приобретенный под строительство;</w:t>
      </w:r>
    </w:p>
    <w:p>
      <w:pPr>
        <w:spacing w:after="120"/>
        <w:ind w:firstLine="567"/>
        <w:jc w:val="both"/>
      </w:pPr>
      <w:r>
        <w:rPr>
          <w:rFonts w:ascii="Arial" w:cs="Arial" w:eastAsia="Arial" w:hAnsi="Arial"/>
          <w:sz w:val="24"/>
          <w:szCs w:val="24"/>
        </w:rPr>
        <w:t xml:space="preserve">8) иные виды обеспечения согласно внутренним нормативным документам банков-участников.</w:t>
      </w:r>
    </w:p>
    <w:p>
      <w:pPr>
        <w:spacing w:after="120"/>
        <w:ind w:firstLine="567"/>
        <w:jc w:val="both"/>
      </w:pPr>
      <w:r>
        <w:rPr>
          <w:rFonts w:ascii="Arial" w:cs="Arial" w:eastAsia="Arial" w:hAnsi="Arial"/>
          <w:sz w:val="24"/>
          <w:szCs w:val="24"/>
        </w:rPr>
        <w:t xml:space="preserve">Залоговый коэффициент по данному Проекту определяется в размере 80 процентов от рыночной стоимости залогового имущества.</w:t>
      </w:r>
    </w:p>
    <w:p>
      <w:pPr>
        <w:spacing w:after="240" w:before="200"/>
        <w:jc w:val="center"/>
      </w:pPr>
      <w:r>
        <w:rPr>
          <w:rFonts w:ascii="Arial" w:cs="Arial" w:eastAsia="Arial" w:hAnsi="Arial"/>
          <w:b/>
          <w:bCs/>
          <w:sz w:val="32"/>
          <w:szCs w:val="32"/>
        </w:rPr>
        <w:t xml:space="preserve">4.3. Дополнительные условия кредитования участников кластера</w:t>
      </w:r>
    </w:p>
    <w:p>
      <w:pPr>
        <w:spacing w:after="120"/>
        <w:ind w:firstLine="567"/>
        <w:jc w:val="both"/>
      </w:pPr>
      <w:r>
        <w:rPr>
          <w:rFonts w:ascii="Arial" w:cs="Arial" w:eastAsia="Arial" w:hAnsi="Arial"/>
          <w:sz w:val="24"/>
          <w:szCs w:val="24"/>
        </w:rPr>
        <w:t xml:space="preserve">20. Приоритетом в данном Проекте являются хозяйствующие субъекты, занимающиеся:</w:t>
      </w:r>
    </w:p>
    <w:p>
      <w:pPr>
        <w:spacing w:after="120"/>
        <w:ind w:firstLine="567"/>
        <w:jc w:val="both"/>
      </w:pPr>
      <w:r>
        <w:rPr>
          <w:rFonts w:ascii="Arial" w:cs="Arial" w:eastAsia="Arial" w:hAnsi="Arial"/>
          <w:sz w:val="24"/>
          <w:szCs w:val="24"/>
        </w:rPr>
        <w:t xml:space="preserve">- эффективным использованием неосвоенных и малопродуктивных земель сельскохозяйственного назначения и пастбищ и возможностями развития на указанных земельных угодьях агролесоводства, садоводства и виноградарства;</w:t>
      </w:r>
    </w:p>
    <w:p>
      <w:pPr>
        <w:spacing w:after="120"/>
        <w:ind w:firstLine="567"/>
        <w:jc w:val="both"/>
      </w:pPr>
      <w:r>
        <w:rPr>
          <w:rFonts w:ascii="Arial" w:cs="Arial" w:eastAsia="Arial" w:hAnsi="Arial"/>
          <w:sz w:val="24"/>
          <w:szCs w:val="24"/>
        </w:rPr>
        <w:t xml:space="preserve">- внедрением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w:t>
      </w:r>
    </w:p>
    <w:p>
      <w:pPr>
        <w:spacing w:after="120"/>
        <w:ind w:firstLine="567"/>
        <w:jc w:val="both"/>
      </w:pPr>
      <w:r>
        <w:rPr>
          <w:rFonts w:ascii="Arial" w:cs="Arial" w:eastAsia="Arial" w:hAnsi="Arial"/>
          <w:sz w:val="24"/>
          <w:szCs w:val="24"/>
        </w:rPr>
        <w:t xml:space="preserve">- созданием условий для организации и расширения производства рыбы на базе водоемов и акваторий водохранилищ, в том числе созданием инфраструктуры по производству и переработке рыбной продукции;</w:t>
      </w:r>
    </w:p>
    <w:p>
      <w:pPr>
        <w:spacing w:after="120"/>
        <w:ind w:firstLine="567"/>
        <w:jc w:val="both"/>
      </w:pPr>
      <w:r>
        <w:rPr>
          <w:rFonts w:ascii="Arial" w:cs="Arial" w:eastAsia="Arial" w:hAnsi="Arial"/>
          <w:sz w:val="24"/>
          <w:szCs w:val="24"/>
        </w:rPr>
        <w:t xml:space="preserve">- внедрением технологий глубокой заморозки и сублимационной сушки сельскохозяйственной продукции;</w:t>
      </w:r>
    </w:p>
    <w:p>
      <w:pPr>
        <w:spacing w:after="120"/>
        <w:ind w:firstLine="567"/>
        <w:jc w:val="both"/>
      </w:pPr>
      <w:r>
        <w:rPr>
          <w:rFonts w:ascii="Arial" w:cs="Arial" w:eastAsia="Arial" w:hAnsi="Arial"/>
          <w:sz w:val="24"/>
          <w:szCs w:val="24"/>
        </w:rPr>
        <w:t xml:space="preserve">- разработкой механизмов государственно-частного партнерства для развития агронауки, государственных сортоиспытательных участков и государственных племенных хозяйств;</w:t>
      </w:r>
    </w:p>
    <w:p>
      <w:pPr>
        <w:spacing w:after="120"/>
        <w:ind w:firstLine="567"/>
        <w:jc w:val="both"/>
      </w:pPr>
      <w:r>
        <w:rPr>
          <w:rFonts w:ascii="Arial" w:cs="Arial" w:eastAsia="Arial" w:hAnsi="Arial"/>
          <w:sz w:val="24"/>
          <w:szCs w:val="24"/>
        </w:rPr>
        <w:t xml:space="preserve">- преодолением мелкотоварного производства путем развития кооперации в сельском хозяйстве;</w:t>
      </w:r>
    </w:p>
    <w:p>
      <w:pPr>
        <w:spacing w:after="120"/>
        <w:ind w:firstLine="567"/>
        <w:jc w:val="both"/>
      </w:pPr>
      <w:r>
        <w:rPr>
          <w:rFonts w:ascii="Arial" w:cs="Arial" w:eastAsia="Arial" w:hAnsi="Arial"/>
          <w:sz w:val="24"/>
          <w:szCs w:val="24"/>
        </w:rPr>
        <w:t xml:space="preserve">- внедрением национальных экологических, органических стандартов и норм в области производства сельскохозяйственной продукции и пищевой безопасности, а также международных стандартов, систем качества и безопасности сельскохозяйственной и пищевой продукции (Global GAP, НАССР, ISO, FSSC 2200, "Халал", "Органикс");</w:t>
      </w:r>
    </w:p>
    <w:p>
      <w:pPr>
        <w:spacing w:after="120"/>
        <w:ind w:firstLine="567"/>
        <w:jc w:val="both"/>
      </w:pPr>
      <w:r>
        <w:rPr>
          <w:rFonts w:ascii="Arial" w:cs="Arial" w:eastAsia="Arial" w:hAnsi="Arial"/>
          <w:sz w:val="24"/>
          <w:szCs w:val="24"/>
        </w:rPr>
        <w:t xml:space="preserve">- глубокой переработкой хлопка, шерсти и кожи.</w:t>
      </w:r>
    </w:p>
    <w:p>
      <w:pPr>
        <w:spacing w:after="240" w:before="200"/>
        <w:jc w:val="center"/>
      </w:pPr>
      <w:r>
        <w:rPr>
          <w:rFonts w:ascii="Arial" w:cs="Arial" w:eastAsia="Arial" w:hAnsi="Arial"/>
          <w:b/>
          <w:bCs/>
          <w:sz w:val="32"/>
          <w:szCs w:val="32"/>
        </w:rPr>
        <w:t xml:space="preserve">4.4. Дополнительные условия кредитования для банков-участников</w:t>
      </w:r>
    </w:p>
    <w:p>
      <w:pPr>
        <w:spacing w:after="120"/>
        <w:ind w:firstLine="567"/>
        <w:jc w:val="both"/>
      </w:pPr>
      <w:r>
        <w:rPr>
          <w:rFonts w:ascii="Arial" w:cs="Arial" w:eastAsia="Arial" w:hAnsi="Arial"/>
          <w:sz w:val="24"/>
          <w:szCs w:val="24"/>
        </w:rPr>
        <w:t xml:space="preserve">21. Банки-участники имеют право выдавать кредиты по настоящему Проекту на револьверной основе.</w:t>
      </w:r>
    </w:p>
    <w:p>
      <w:pPr>
        <w:spacing w:after="120"/>
        <w:ind w:firstLine="567"/>
        <w:jc w:val="both"/>
      </w:pPr>
      <w:r>
        <w:rPr>
          <w:rFonts w:ascii="Arial" w:cs="Arial" w:eastAsia="Arial" w:hAnsi="Arial"/>
          <w:sz w:val="24"/>
          <w:szCs w:val="24"/>
        </w:rPr>
        <w:t xml:space="preserve">Банком-участником устанавливается лимит кредитной линии, срок кредитной линии составляет до 60 месяцев, срок доступности (освоения) кредитной линии - до 54 месяцев (в зависимости от вида деятельности). При этом погашение основной суммы транша осуществляется через 3-12 месяцев (по желанию клиента) после выдачи транша равными долями/аннуитетными платежами, проценты за пользование - ежемесячно или ежеквартально с момента выдачи кредита, льготный период по погашению ОД по траншам, полученным в рамках ранее открытой кредитной линии от 3 (трех) до 12 (двенадцати) месяцев с момента получения транша, но не более срока кредитной линии. Погашение процентов - ежемесячно.</w:t>
      </w:r>
    </w:p>
    <w:p>
      <w:pPr>
        <w:spacing w:after="120"/>
        <w:ind w:firstLine="567"/>
        <w:jc w:val="both"/>
      </w:pPr>
      <w:r>
        <w:rPr>
          <w:rFonts w:ascii="Arial" w:cs="Arial" w:eastAsia="Arial" w:hAnsi="Arial"/>
          <w:sz w:val="24"/>
          <w:szCs w:val="24"/>
        </w:rPr>
        <w:t xml:space="preserve">При пролонгации кредита свыше установленного срока пользования кредитом процентная ставка по кредиту устанавливается в размере не более 10 процентов годовых в национальной валюте Кыргызской Республики.</w:t>
      </w:r>
    </w:p>
    <w:p>
      <w:pPr>
        <w:spacing w:after="120"/>
        <w:ind w:firstLine="567"/>
        <w:jc w:val="both"/>
      </w:pPr>
      <w:r>
        <w:rPr>
          <w:rFonts w:ascii="Arial" w:cs="Arial" w:eastAsia="Arial" w:hAnsi="Arial"/>
          <w:sz w:val="24"/>
          <w:szCs w:val="24"/>
        </w:rPr>
        <w:t xml:space="preserve">22. Выдача кредита осуществляется следующим образом:</w:t>
      </w:r>
    </w:p>
    <w:p>
      <w:pPr>
        <w:spacing w:after="120"/>
        <w:ind w:firstLine="567"/>
        <w:jc w:val="both"/>
      </w:pPr>
      <w:r>
        <w:rPr>
          <w:rFonts w:ascii="Arial" w:cs="Arial" w:eastAsia="Arial" w:hAnsi="Arial"/>
          <w:sz w:val="24"/>
          <w:szCs w:val="24"/>
        </w:rPr>
        <w:t xml:space="preserve">агрегаторам кластера - перечислением денежных средств на счет заемщика согласно условиям заключенных договоров:</w:t>
      </w:r>
    </w:p>
    <w:p>
      <w:pPr>
        <w:spacing w:after="120"/>
        <w:ind w:firstLine="567"/>
        <w:jc w:val="both"/>
      </w:pPr>
      <w:r>
        <w:rPr>
          <w:rFonts w:ascii="Arial" w:cs="Arial" w:eastAsia="Arial" w:hAnsi="Arial"/>
          <w:sz w:val="24"/>
          <w:szCs w:val="24"/>
        </w:rPr>
        <w:t xml:space="preserve">фермерам - наличными или перечислением;</w:t>
      </w:r>
    </w:p>
    <w:p>
      <w:pPr>
        <w:spacing w:after="120"/>
        <w:ind w:firstLine="567"/>
        <w:jc w:val="both"/>
      </w:pPr>
      <w:r>
        <w:rPr>
          <w:rFonts w:ascii="Arial" w:cs="Arial" w:eastAsia="Arial" w:hAnsi="Arial"/>
          <w:sz w:val="24"/>
          <w:szCs w:val="24"/>
        </w:rPr>
        <w:t xml:space="preserve">фермерам, занимающимся садоводством, для приобретения посадочного материала - перечислением денежных средств на счет отечественного производителя в размере не менее 70 процентов от суммы полученного кредита.</w:t>
      </w:r>
    </w:p>
    <w:p>
      <w:pPr>
        <w:spacing w:after="120"/>
        <w:ind w:firstLine="567"/>
        <w:jc w:val="both"/>
      </w:pPr>
      <w:r>
        <w:rPr>
          <w:rFonts w:ascii="Arial" w:cs="Arial" w:eastAsia="Arial" w:hAnsi="Arial"/>
          <w:sz w:val="24"/>
          <w:szCs w:val="24"/>
        </w:rPr>
        <w:t xml:space="preserve">Допускается получение агрегаторами, сельскохозяйственными товаропроизводителями и субконтракторами параллельного финансирования в рамках настоящего Проекта в случае наличия финансирования от других фондов и финансово-кредитных организаций.</w:t>
      </w:r>
    </w:p>
    <w:p>
      <w:pPr>
        <w:spacing w:after="240" w:before="200"/>
        <w:jc w:val="center"/>
      </w:pPr>
      <w:r>
        <w:rPr>
          <w:rFonts w:ascii="Arial" w:cs="Arial" w:eastAsia="Arial" w:hAnsi="Arial"/>
          <w:b/>
          <w:bCs/>
          <w:sz w:val="32"/>
          <w:szCs w:val="32"/>
        </w:rPr>
        <w:t xml:space="preserve">4.5. Условия вступления для субъектов сельского хозяйства в агропромышленный кластер</w:t>
      </w:r>
    </w:p>
    <w:p>
      <w:pPr>
        <w:spacing w:after="120"/>
        <w:ind w:firstLine="567"/>
        <w:jc w:val="both"/>
      </w:pPr>
      <w:r>
        <w:rPr>
          <w:rFonts w:ascii="Arial" w:cs="Arial" w:eastAsia="Arial" w:hAnsi="Arial"/>
          <w:sz w:val="24"/>
          <w:szCs w:val="24"/>
        </w:rPr>
        <w:t xml:space="preserve">23. Первичное обращение субъектов сельского хозяйства осуществляется банками-участниками во всех офисах.</w:t>
      </w:r>
    </w:p>
    <w:p>
      <w:pPr>
        <w:spacing w:after="120"/>
        <w:ind w:firstLine="567"/>
        <w:jc w:val="both"/>
      </w:pPr>
      <w:r>
        <w:rPr>
          <w:rFonts w:ascii="Arial" w:cs="Arial" w:eastAsia="Arial" w:hAnsi="Arial"/>
          <w:sz w:val="24"/>
          <w:szCs w:val="24"/>
        </w:rPr>
        <w:t xml:space="preserve">24. Первичный список субъектов сельского хозяйства (предприятия переработки и/или торгово-логистические центры или индивидуальные предприниматели) формируется банками-участниками.</w:t>
      </w:r>
    </w:p>
    <w:p>
      <w:pPr>
        <w:spacing w:after="120"/>
        <w:ind w:firstLine="567"/>
        <w:jc w:val="both"/>
      </w:pPr>
      <w:r>
        <w:rPr>
          <w:rFonts w:ascii="Arial" w:cs="Arial" w:eastAsia="Arial" w:hAnsi="Arial"/>
          <w:sz w:val="24"/>
          <w:szCs w:val="24"/>
        </w:rPr>
        <w:t xml:space="preserve">25. Для вступления в агропромышленный кластер в качестве агрегатора субъектами сельского хозяйства предоставляются следующие документы:</w:t>
      </w:r>
    </w:p>
    <w:p>
      <w:pPr>
        <w:spacing w:after="120"/>
        <w:ind w:firstLine="567"/>
        <w:jc w:val="both"/>
      </w:pPr>
      <w:r>
        <w:rPr>
          <w:rFonts w:ascii="Arial" w:cs="Arial" w:eastAsia="Arial" w:hAnsi="Arial"/>
          <w:sz w:val="24"/>
          <w:szCs w:val="24"/>
        </w:rPr>
        <w:t xml:space="preserve">- заявление о вступлении в кластер;</w:t>
      </w:r>
    </w:p>
    <w:p>
      <w:pPr>
        <w:spacing w:after="120"/>
        <w:ind w:firstLine="567"/>
        <w:jc w:val="both"/>
      </w:pPr>
      <w:r>
        <w:rPr>
          <w:rFonts w:ascii="Arial" w:cs="Arial" w:eastAsia="Arial" w:hAnsi="Arial"/>
          <w:sz w:val="24"/>
          <w:szCs w:val="24"/>
        </w:rPr>
        <w:t xml:space="preserve">- документ о регистрации в соответствующих органах;</w:t>
      </w:r>
    </w:p>
    <w:p>
      <w:pPr>
        <w:spacing w:after="120"/>
        <w:ind w:firstLine="567"/>
        <w:jc w:val="both"/>
      </w:pPr>
      <w:r>
        <w:rPr>
          <w:rFonts w:ascii="Arial" w:cs="Arial" w:eastAsia="Arial" w:hAnsi="Arial"/>
          <w:sz w:val="24"/>
          <w:szCs w:val="24"/>
        </w:rPr>
        <w:t xml:space="preserve">- список участников агропромышленного кластера, заключивших соглашение на поставку продукции или оказание услуг;</w:t>
      </w:r>
    </w:p>
    <w:p>
      <w:pPr>
        <w:spacing w:after="120"/>
        <w:ind w:firstLine="567"/>
        <w:jc w:val="both"/>
      </w:pPr>
      <w:r>
        <w:rPr>
          <w:rFonts w:ascii="Arial" w:cs="Arial" w:eastAsia="Arial" w:hAnsi="Arial"/>
          <w:sz w:val="24"/>
          <w:szCs w:val="24"/>
        </w:rPr>
        <w:t xml:space="preserve">- краткая информация о деятельности.</w:t>
      </w:r>
    </w:p>
    <w:p>
      <w:pPr>
        <w:spacing w:after="120"/>
        <w:ind w:firstLine="567"/>
        <w:jc w:val="both"/>
      </w:pPr>
      <w:r>
        <w:rPr>
          <w:rFonts w:ascii="Arial" w:cs="Arial" w:eastAsia="Arial" w:hAnsi="Arial"/>
          <w:sz w:val="24"/>
          <w:szCs w:val="24"/>
        </w:rPr>
        <w:t xml:space="preserve">26. Список субъектов сельского хозяйства, (предприятия переработки и/или торгово-логистические центры или индивидуальные предприниматели) с перечисленными документами направляются на рассмотрение Совета для принятия решения о вступлении в кластерное объединение и включении в Реестр участников кластера. После принятия решений Советом список участников агропромышленного кластера направляется банкам-участникам на рассмотрение о предоставлении льготного кредита.</w:t>
      </w:r>
    </w:p>
    <w:p>
      <w:pPr>
        <w:spacing w:after="120"/>
        <w:ind w:firstLine="567"/>
        <w:jc w:val="both"/>
      </w:pPr>
      <w:r>
        <w:rPr>
          <w:rFonts w:ascii="Arial" w:cs="Arial" w:eastAsia="Arial" w:hAnsi="Arial"/>
          <w:sz w:val="24"/>
          <w:szCs w:val="24"/>
        </w:rPr>
        <w:t xml:space="preserve">27. Реестр агропромышленных кластеров по направлениям на районном и региональном уровнях формируется Министерством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5. Описание реализации Проекта</w:t>
      </w:r>
    </w:p>
    <w:p>
      <w:pPr>
        <w:spacing w:after="120"/>
        <w:ind w:firstLine="567"/>
        <w:jc w:val="both"/>
      </w:pPr>
      <w:r>
        <w:rPr>
          <w:rFonts w:ascii="Arial" w:cs="Arial" w:eastAsia="Arial" w:hAnsi="Arial"/>
          <w:sz w:val="24"/>
          <w:szCs w:val="24"/>
        </w:rPr>
        <w:t xml:space="preserve">28. Банки-участники в десятидневный срок после вступления в силу Проекта подают в Министерство финансов Кыргызской Республики заявку на выдачу средств с указанием объема кредитования.</w:t>
      </w:r>
    </w:p>
    <w:p>
      <w:pPr>
        <w:spacing w:after="120"/>
        <w:ind w:firstLine="567"/>
        <w:jc w:val="both"/>
      </w:pPr>
      <w:r>
        <w:rPr>
          <w:rFonts w:ascii="Arial" w:cs="Arial" w:eastAsia="Arial" w:hAnsi="Arial"/>
          <w:sz w:val="24"/>
          <w:szCs w:val="24"/>
        </w:rPr>
        <w:t xml:space="preserve">29. С целью надлежащего информирования населения о реализации Проекта банки-участники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на кредит должны быть зарегистрированы в отдельном электронном журнале учета заявок коммерческих банков.</w:t>
      </w:r>
    </w:p>
    <w:p>
      <w:pPr>
        <w:spacing w:after="120"/>
        <w:ind w:firstLine="567"/>
        <w:jc w:val="both"/>
      </w:pPr>
      <w:r>
        <w:rPr>
          <w:rFonts w:ascii="Arial" w:cs="Arial" w:eastAsia="Arial" w:hAnsi="Arial"/>
          <w:sz w:val="24"/>
          <w:szCs w:val="24"/>
        </w:rPr>
        <w:t xml:space="preserve">30. Средства на капитализацию банков-участников переводятся Министерством финансов Кыргызской Республики из средств республиканского бюджета.</w:t>
      </w:r>
    </w:p>
    <w:p>
      <w:pPr>
        <w:spacing w:after="120"/>
        <w:ind w:firstLine="567"/>
        <w:jc w:val="both"/>
      </w:pPr>
      <w:r>
        <w:rPr>
          <w:rFonts w:ascii="Arial" w:cs="Arial" w:eastAsia="Arial" w:hAnsi="Arial"/>
          <w:sz w:val="24"/>
          <w:szCs w:val="24"/>
        </w:rPr>
        <w:t xml:space="preserve">31. Кредитная деятельность банков-участников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w:t>
      </w:r>
    </w:p>
    <w:p>
      <w:pPr>
        <w:spacing w:after="240" w:before="200"/>
        <w:jc w:val="center"/>
      </w:pPr>
      <w:r>
        <w:rPr>
          <w:rFonts w:ascii="Arial" w:cs="Arial" w:eastAsia="Arial" w:hAnsi="Arial"/>
          <w:b/>
          <w:bCs/>
          <w:sz w:val="32"/>
          <w:szCs w:val="32"/>
        </w:rPr>
        <w:t xml:space="preserve">6. Ведение учета средств, выделяемых для поддержки агропромышленных кластеров, и их целевое использование</w:t>
      </w:r>
    </w:p>
    <w:p>
      <w:pPr>
        <w:spacing w:after="120"/>
        <w:ind w:firstLine="567"/>
        <w:jc w:val="both"/>
      </w:pPr>
      <w:r>
        <w:rPr>
          <w:rFonts w:ascii="Arial" w:cs="Arial" w:eastAsia="Arial" w:hAnsi="Arial"/>
          <w:sz w:val="24"/>
          <w:szCs w:val="24"/>
        </w:rPr>
        <w:t xml:space="preserve">32. Банки-участники, получившие средства на капитализацию уставного капитала для последующего финансирования участников Проекта, должны использовать поступившие средства исключительно для дальнейшего кредитования на револьверной основе.</w:t>
      </w:r>
    </w:p>
    <w:p>
      <w:pPr>
        <w:spacing w:after="120"/>
        <w:ind w:firstLine="567"/>
        <w:jc w:val="both"/>
      </w:pPr>
      <w:r>
        <w:rPr>
          <w:rFonts w:ascii="Arial" w:cs="Arial" w:eastAsia="Arial" w:hAnsi="Arial"/>
          <w:sz w:val="24"/>
          <w:szCs w:val="24"/>
        </w:rPr>
        <w:t xml:space="preserve">33. Министерство водных ресурсов сельского хозяйства и перерабатывающей промышленности Кыргызской Республики и Национальный банк Кыргызской Республики осуществляют общий мониторинг целевого использования средств, выданных банкам-участникам.</w:t>
      </w:r>
    </w:p>
    <w:p>
      <w:pPr>
        <w:spacing w:after="120"/>
        <w:ind w:firstLine="567"/>
        <w:jc w:val="both"/>
      </w:pPr>
      <w:r>
        <w:rPr>
          <w:rFonts w:ascii="Arial" w:cs="Arial" w:eastAsia="Arial" w:hAnsi="Arial"/>
          <w:sz w:val="24"/>
          <w:szCs w:val="24"/>
        </w:rPr>
        <w:t xml:space="preserve">34. Надзор за деятельностью коммерческих банков осуществляется Национальным банком Кыргызский Республики в соответствии с банковским законодательством Кыргызской Республики.</w:t>
      </w:r>
    </w:p>
    <w:p>
      <w:pPr>
        <w:spacing w:after="240" w:before="200"/>
        <w:jc w:val="center"/>
      </w:pPr>
      <w:r>
        <w:rPr>
          <w:rFonts w:ascii="Arial" w:cs="Arial" w:eastAsia="Arial" w:hAnsi="Arial"/>
          <w:b/>
          <w:bCs/>
          <w:sz w:val="32"/>
          <w:szCs w:val="32"/>
        </w:rPr>
        <w:t xml:space="preserve">7. Риски и угрозы</w:t>
      </w:r>
    </w:p>
    <w:p>
      <w:pPr>
        <w:spacing w:after="120"/>
        <w:ind w:firstLine="567"/>
        <w:jc w:val="both"/>
      </w:pPr>
      <w:r>
        <w:rPr>
          <w:rFonts w:ascii="Arial" w:cs="Arial" w:eastAsia="Arial" w:hAnsi="Arial"/>
          <w:sz w:val="24"/>
          <w:szCs w:val="24"/>
        </w:rPr>
        <w:t xml:space="preserve">35. Минимизация кредитного риска осуществляется банками-участниками.</w:t>
      </w:r>
    </w:p>
    <w:p>
      <w:pPr>
        <w:spacing w:after="120"/>
        <w:ind w:firstLine="567"/>
        <w:jc w:val="both"/>
      </w:pPr>
      <w:r>
        <w:rPr>
          <w:rFonts w:ascii="Arial" w:cs="Arial" w:eastAsia="Arial" w:hAnsi="Arial"/>
          <w:sz w:val="24"/>
          <w:szCs w:val="24"/>
        </w:rPr>
        <w:t xml:space="preserve">36. Угроза природных катаклизмов и наличие форс-мажорных обстоятельств:</w:t>
      </w:r>
    </w:p>
    <w:p>
      <w:pPr>
        <w:spacing w:after="120"/>
        <w:ind w:firstLine="567"/>
        <w:jc w:val="both"/>
      </w:pPr>
      <w:r>
        <w:rPr>
          <w:rFonts w:ascii="Arial" w:cs="Arial" w:eastAsia="Arial" w:hAnsi="Arial"/>
          <w:sz w:val="24"/>
          <w:szCs w:val="24"/>
        </w:rPr>
        <w:t xml:space="preserve">1) при возникновении риска невозврата кредитов заемщиками, связанного с форс-мажором, природными катаклизмами, банки-участники самостоятельно принимают меры по его минимизации;</w:t>
      </w:r>
    </w:p>
    <w:p>
      <w:pPr>
        <w:spacing w:after="120"/>
        <w:ind w:firstLine="567"/>
        <w:jc w:val="both"/>
      </w:pPr>
      <w:r>
        <w:rPr>
          <w:rFonts w:ascii="Arial" w:cs="Arial" w:eastAsia="Arial" w:hAnsi="Arial"/>
          <w:sz w:val="24"/>
          <w:szCs w:val="24"/>
        </w:rPr>
        <w:t xml:space="preserve">2) банки-участники с целью снижения рисков могут принять решение о страховании со стороны заемщика.</w:t>
      </w:r>
    </w:p>
    <w:p>
      <w:pPr>
        <w:spacing w:after="240" w:before="200"/>
        <w:jc w:val="center"/>
      </w:pPr>
      <w:r>
        <w:rPr>
          <w:rFonts w:ascii="Arial" w:cs="Arial" w:eastAsia="Arial" w:hAnsi="Arial"/>
          <w:b/>
          <w:bCs/>
          <w:sz w:val="32"/>
          <w:szCs w:val="32"/>
        </w:rPr>
        <w:t xml:space="preserve">8. Мониторинг целевого использования кредитных средств</w:t>
      </w:r>
    </w:p>
    <w:p>
      <w:pPr>
        <w:spacing w:after="120"/>
        <w:ind w:firstLine="567"/>
        <w:jc w:val="both"/>
      </w:pPr>
      <w:r>
        <w:rPr>
          <w:rFonts w:ascii="Arial" w:cs="Arial" w:eastAsia="Arial" w:hAnsi="Arial"/>
          <w:sz w:val="24"/>
          <w:szCs w:val="24"/>
        </w:rPr>
        <w:t xml:space="preserve">37. Мониторинг целевого использования кредитных средств осуществляется банками-участниками следующим образом:</w:t>
      </w:r>
    </w:p>
    <w:p>
      <w:pPr>
        <w:spacing w:after="12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представить отчеты о целевом использовании кредитных средств;</w:t>
      </w:r>
    </w:p>
    <w:p>
      <w:pPr>
        <w:spacing w:after="120"/>
        <w:ind w:firstLine="567"/>
        <w:jc w:val="both"/>
      </w:pPr>
      <w:r>
        <w:rPr>
          <w:rFonts w:ascii="Arial" w:cs="Arial" w:eastAsia="Arial" w:hAnsi="Arial"/>
          <w:sz w:val="24"/>
          <w:szCs w:val="24"/>
        </w:rPr>
        <w:t xml:space="preserve">2) в течение 3 (трех) месяцев после получения от заемщика отчета о целевом использовании кредитных средств совместно с районными управлениями аграрного развития Министерства водных ресурсов, сельского хозяйства и перерабатывающей промышленности Кыргызской Республики должны провести мониторинг на месте с составлением отчета о результатах проверок.</w:t>
      </w:r>
    </w:p>
    <w:p>
      <w:pPr>
        <w:spacing w:after="120"/>
        <w:ind w:firstLine="567"/>
        <w:jc w:val="both"/>
      </w:pPr>
      <w:r>
        <w:rPr>
          <w:rFonts w:ascii="Arial" w:cs="Arial" w:eastAsia="Arial" w:hAnsi="Arial"/>
          <w:sz w:val="24"/>
          <w:szCs w:val="24"/>
        </w:rPr>
        <w:t xml:space="preserve">Заемщики обязаны представить банкам-участникам один из следующих документов, подтверждающих целевое использование кредита:</w:t>
      </w:r>
    </w:p>
    <w:p>
      <w:pPr>
        <w:spacing w:after="120"/>
        <w:ind w:firstLine="567"/>
        <w:jc w:val="both"/>
      </w:pPr>
      <w:r>
        <w:rPr>
          <w:rFonts w:ascii="Arial" w:cs="Arial" w:eastAsia="Arial" w:hAnsi="Arial"/>
          <w:sz w:val="24"/>
          <w:szCs w:val="24"/>
        </w:rPr>
        <w:t xml:space="preserve">1) на оборотные средства:</w:t>
      </w:r>
    </w:p>
    <w:p>
      <w:pPr>
        <w:spacing w:after="120"/>
        <w:ind w:firstLine="567"/>
        <w:jc w:val="both"/>
      </w:pPr>
      <w:r>
        <w:rPr>
          <w:rFonts w:ascii="Arial" w:cs="Arial" w:eastAsia="Arial" w:hAnsi="Arial"/>
          <w:sz w:val="24"/>
          <w:szCs w:val="24"/>
        </w:rPr>
        <w:t xml:space="preserve">- копия контракта/договора купли-продажи скота или кормов с указанием стоимости приобретенного скота или кормов, составленного в простой письменной форме, с приложением копии паспорта продавца (в случаях, когда продавец - физическое лицо);</w:t>
      </w:r>
    </w:p>
    <w:p>
      <w:pPr>
        <w:spacing w:after="120"/>
        <w:ind w:firstLine="567"/>
        <w:jc w:val="both"/>
      </w:pPr>
      <w:r>
        <w:rPr>
          <w:rFonts w:ascii="Arial" w:cs="Arial" w:eastAsia="Arial" w:hAnsi="Arial"/>
          <w:sz w:val="24"/>
          <w:szCs w:val="24"/>
        </w:rPr>
        <w:t xml:space="preserve">- документ, удостоверяющий регистрацию купленного скота в Системе идентификации и отслеживания животных (СИОЖ);</w:t>
      </w:r>
    </w:p>
    <w:p>
      <w:pPr>
        <w:spacing w:after="120"/>
        <w:ind w:firstLine="567"/>
        <w:jc w:val="both"/>
      </w:pPr>
      <w:r>
        <w:rPr>
          <w:rFonts w:ascii="Arial" w:cs="Arial" w:eastAsia="Arial" w:hAnsi="Arial"/>
          <w:sz w:val="24"/>
          <w:szCs w:val="24"/>
        </w:rPr>
        <w:t xml:space="preserve">- договор купли-продажи;</w:t>
      </w:r>
    </w:p>
    <w:p>
      <w:pPr>
        <w:spacing w:after="120"/>
        <w:ind w:firstLine="567"/>
        <w:jc w:val="both"/>
      </w:pPr>
      <w:r>
        <w:rPr>
          <w:rFonts w:ascii="Arial" w:cs="Arial" w:eastAsia="Arial" w:hAnsi="Arial"/>
          <w:sz w:val="24"/>
          <w:szCs w:val="24"/>
        </w:rPr>
        <w:t xml:space="preserve">- закупочный акт;</w:t>
      </w:r>
    </w:p>
    <w:p>
      <w:pPr>
        <w:spacing w:after="120"/>
        <w:ind w:firstLine="567"/>
        <w:jc w:val="both"/>
      </w:pPr>
      <w:r>
        <w:rPr>
          <w:rFonts w:ascii="Arial" w:cs="Arial" w:eastAsia="Arial" w:hAnsi="Arial"/>
          <w:sz w:val="24"/>
          <w:szCs w:val="24"/>
        </w:rPr>
        <w:t xml:space="preserve">- счет-фактура;</w:t>
      </w:r>
    </w:p>
    <w:p>
      <w:pPr>
        <w:spacing w:after="120"/>
        <w:ind w:firstLine="567"/>
        <w:jc w:val="both"/>
      </w:pPr>
      <w:r>
        <w:rPr>
          <w:rFonts w:ascii="Arial" w:cs="Arial" w:eastAsia="Arial" w:hAnsi="Arial"/>
          <w:sz w:val="24"/>
          <w:szCs w:val="24"/>
        </w:rPr>
        <w:t xml:space="preserve">- накладная;</w:t>
      </w:r>
    </w:p>
    <w:p>
      <w:pPr>
        <w:spacing w:after="120"/>
        <w:ind w:firstLine="567"/>
        <w:jc w:val="both"/>
      </w:pPr>
      <w:r>
        <w:rPr>
          <w:rFonts w:ascii="Arial" w:cs="Arial" w:eastAsia="Arial" w:hAnsi="Arial"/>
          <w:sz w:val="24"/>
          <w:szCs w:val="24"/>
        </w:rPr>
        <w:t xml:space="preserve">- справка от органов местного самоуправления (айыл окмоту);</w:t>
      </w:r>
    </w:p>
    <w:p>
      <w:pPr>
        <w:spacing w:after="120"/>
        <w:ind w:firstLine="567"/>
        <w:jc w:val="both"/>
      </w:pPr>
      <w:r>
        <w:rPr>
          <w:rFonts w:ascii="Arial" w:cs="Arial" w:eastAsia="Arial" w:hAnsi="Arial"/>
          <w:sz w:val="24"/>
          <w:szCs w:val="24"/>
        </w:rPr>
        <w:t xml:space="preserve">- справка от ветеринаров;</w:t>
      </w:r>
    </w:p>
    <w:p>
      <w:pPr>
        <w:spacing w:after="120"/>
        <w:ind w:firstLine="567"/>
        <w:jc w:val="both"/>
      </w:pPr>
      <w:r>
        <w:rPr>
          <w:rFonts w:ascii="Arial" w:cs="Arial" w:eastAsia="Arial" w:hAnsi="Arial"/>
          <w:sz w:val="24"/>
          <w:szCs w:val="24"/>
        </w:rPr>
        <w:t xml:space="preserve">2) на предоставление услуг:</w:t>
      </w:r>
    </w:p>
    <w:p>
      <w:pPr>
        <w:spacing w:after="120"/>
        <w:ind w:firstLine="567"/>
        <w:jc w:val="both"/>
      </w:pPr>
      <w:r>
        <w:rPr>
          <w:rFonts w:ascii="Arial" w:cs="Arial" w:eastAsia="Arial" w:hAnsi="Arial"/>
          <w:sz w:val="24"/>
          <w:szCs w:val="24"/>
        </w:rPr>
        <w:t xml:space="preserve">- договор оказания услуг, составленный в простой письменной форме, с приложением копии паспортов лиц, оказывающих услуги;</w:t>
      </w:r>
    </w:p>
    <w:p>
      <w:pPr>
        <w:spacing w:after="120"/>
        <w:ind w:firstLine="567"/>
        <w:jc w:val="both"/>
      </w:pPr>
      <w:r>
        <w:rPr>
          <w:rFonts w:ascii="Arial" w:cs="Arial" w:eastAsia="Arial" w:hAnsi="Arial"/>
          <w:sz w:val="24"/>
          <w:szCs w:val="24"/>
        </w:rPr>
        <w:t xml:space="preserve">3) на модернизацию, строительство, приобретение основных средств:</w:t>
      </w:r>
    </w:p>
    <w:p>
      <w:pPr>
        <w:spacing w:after="120"/>
        <w:ind w:firstLine="567"/>
        <w:jc w:val="both"/>
      </w:pPr>
      <w:r>
        <w:rPr>
          <w:rFonts w:ascii="Arial" w:cs="Arial" w:eastAsia="Arial" w:hAnsi="Arial"/>
          <w:sz w:val="24"/>
          <w:szCs w:val="24"/>
        </w:rPr>
        <w:t xml:space="preserve">- при покупке или модернизации недвижимости - договор купли-продажи с указанием цены покупки или договор оказания услуг при строительстве, модернизации (с актом выполненных работ и закупочными актами на расходные материалы);</w:t>
      </w:r>
    </w:p>
    <w:p>
      <w:pPr>
        <w:spacing w:after="120"/>
        <w:ind w:firstLine="567"/>
        <w:jc w:val="both"/>
      </w:pPr>
      <w:r>
        <w:rPr>
          <w:rFonts w:ascii="Arial" w:cs="Arial" w:eastAsia="Arial" w:hAnsi="Arial"/>
          <w:sz w:val="24"/>
          <w:szCs w:val="24"/>
        </w:rPr>
        <w:t xml:space="preserve">- при покупке оборудования - договор купли-продажи с указанием стоимости, подтвержденный документом оплаты (платежное поручение, квитанция, заявление на перевод);</w:t>
      </w:r>
    </w:p>
    <w:p>
      <w:pPr>
        <w:spacing w:after="120"/>
        <w:ind w:firstLine="567"/>
        <w:jc w:val="both"/>
      </w:pPr>
      <w:r>
        <w:rPr>
          <w:rFonts w:ascii="Arial" w:cs="Arial" w:eastAsia="Arial" w:hAnsi="Arial"/>
          <w:sz w:val="24"/>
          <w:szCs w:val="24"/>
        </w:rPr>
        <w:t xml:space="preserve">- при покупке транспортных средств - переоформленный на клиента документ, который подтверждает право собственности.</w:t>
      </w:r>
    </w:p>
    <w:p>
      <w:pPr>
        <w:spacing w:after="120"/>
        <w:ind w:firstLine="567"/>
        <w:jc w:val="both"/>
      </w:pPr>
      <w:r>
        <w:rPr>
          <w:rFonts w:ascii="Arial" w:cs="Arial" w:eastAsia="Arial" w:hAnsi="Arial"/>
          <w:sz w:val="24"/>
          <w:szCs w:val="24"/>
        </w:rPr>
        <w:t xml:space="preserve">38. В случае:</w:t>
      </w:r>
    </w:p>
    <w:p>
      <w:pPr>
        <w:spacing w:after="12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ind w:firstLine="567"/>
        <w:jc w:val="both"/>
      </w:pPr>
      <w:r>
        <w:rPr>
          <w:rFonts w:ascii="Arial" w:cs="Arial" w:eastAsia="Arial" w:hAnsi="Arial"/>
          <w:sz w:val="24"/>
          <w:szCs w:val="24"/>
        </w:rPr>
        <w:t xml:space="preserve">Целевым использованием кредита признается использование заемщиком 80 процентов и более полученного кредита в рамках основной отраслевой направленности кредита. Использование средств на цели, не указанные в кредитном договоре, допускается в размере, не превышающем 20 процентов, при условии, что средства направлены на развитие хозяйства (бизнеса) заемщика. Основная отраслевая направленность предусматривает замену кредитных вложений в пределах одной отрасли.</w:t>
      </w:r>
    </w:p>
    <w:p>
      <w:pPr>
        <w:spacing w:after="240" w:before="200"/>
        <w:jc w:val="center"/>
      </w:pPr>
      <w:r>
        <w:rPr>
          <w:rFonts w:ascii="Arial" w:cs="Arial" w:eastAsia="Arial" w:hAnsi="Arial"/>
          <w:b/>
          <w:bCs/>
          <w:sz w:val="32"/>
          <w:szCs w:val="32"/>
        </w:rPr>
        <w:t xml:space="preserve">9. Оценка эффективности Проекта</w:t>
      </w:r>
    </w:p>
    <w:p>
      <w:pPr>
        <w:spacing w:after="120"/>
        <w:ind w:firstLine="567"/>
        <w:jc w:val="both"/>
      </w:pPr>
      <w:r>
        <w:rPr>
          <w:rFonts w:ascii="Arial" w:cs="Arial" w:eastAsia="Arial" w:hAnsi="Arial"/>
          <w:sz w:val="24"/>
          <w:szCs w:val="24"/>
        </w:rPr>
        <w:t xml:space="preserve">39. В целях анализа и оценки эффективности использования кредитных средств агрегаторами банки-участники ежегодно, до 1 мая года, следующего за отчетным годом, представляют в Министерство экономики и коммерции Кыргызской Республики, Министерство водных ресурсов, сельского хозяйства и перерабатывающей промышленности Кыргызской Республики и Министерство финансов Кыргызской Республики информацию по состоянию на 31 декабря отчетного года по следующим критерием:</w:t>
      </w:r>
    </w:p>
    <w:p>
      <w:pPr>
        <w:spacing w:after="120"/>
        <w:ind w:firstLine="567"/>
        <w:jc w:val="both"/>
      </w:pPr>
      <w:r>
        <w:rPr>
          <w:rFonts w:ascii="Arial" w:cs="Arial" w:eastAsia="Arial" w:hAnsi="Arial"/>
          <w:sz w:val="24"/>
          <w:szCs w:val="24"/>
        </w:rPr>
        <w:t xml:space="preserve">- количество созданных мест;</w:t>
      </w:r>
    </w:p>
    <w:p>
      <w:pPr>
        <w:spacing w:after="120"/>
        <w:ind w:firstLine="567"/>
        <w:jc w:val="both"/>
      </w:pPr>
      <w:r>
        <w:rPr>
          <w:rFonts w:ascii="Arial" w:cs="Arial" w:eastAsia="Arial" w:hAnsi="Arial"/>
          <w:sz w:val="24"/>
          <w:szCs w:val="24"/>
        </w:rPr>
        <w:t xml:space="preserve">- объем выданных кредитов;</w:t>
      </w:r>
    </w:p>
    <w:p>
      <w:pPr>
        <w:spacing w:after="120"/>
        <w:ind w:firstLine="567"/>
        <w:jc w:val="both"/>
      </w:pPr>
      <w:r>
        <w:rPr>
          <w:rFonts w:ascii="Arial" w:cs="Arial" w:eastAsia="Arial" w:hAnsi="Arial"/>
          <w:sz w:val="24"/>
          <w:szCs w:val="24"/>
        </w:rPr>
        <w:t xml:space="preserve">- увеличение мощности предприятий пищевой и перерабатывающей промышленности;</w:t>
      </w:r>
    </w:p>
    <w:p>
      <w:pPr>
        <w:spacing w:after="120"/>
        <w:ind w:firstLine="567"/>
        <w:jc w:val="both"/>
      </w:pPr>
      <w:r>
        <w:rPr>
          <w:rFonts w:ascii="Arial" w:cs="Arial" w:eastAsia="Arial" w:hAnsi="Arial"/>
          <w:sz w:val="24"/>
          <w:szCs w:val="24"/>
        </w:rPr>
        <w:t xml:space="preserve">- налоговые отчисления;</w:t>
      </w:r>
    </w:p>
    <w:p>
      <w:pPr>
        <w:spacing w:after="120"/>
        <w:ind w:firstLine="567"/>
        <w:jc w:val="both"/>
      </w:pPr>
      <w:r>
        <w:rPr>
          <w:rFonts w:ascii="Arial" w:cs="Arial" w:eastAsia="Arial" w:hAnsi="Arial"/>
          <w:sz w:val="24"/>
          <w:szCs w:val="24"/>
        </w:rPr>
        <w:t xml:space="preserve">- увеличение объема валовой продукции;</w:t>
      </w:r>
    </w:p>
    <w:p>
      <w:pPr>
        <w:spacing w:after="120"/>
        <w:ind w:firstLine="567"/>
        <w:jc w:val="both"/>
      </w:pPr>
      <w:r>
        <w:rPr>
          <w:rFonts w:ascii="Arial" w:cs="Arial" w:eastAsia="Arial" w:hAnsi="Arial"/>
          <w:sz w:val="24"/>
          <w:szCs w:val="24"/>
        </w:rPr>
        <w:t xml:space="preserve">- объем экспорта;</w:t>
      </w:r>
    </w:p>
    <w:p>
      <w:pPr>
        <w:spacing w:after="120"/>
        <w:ind w:firstLine="567"/>
        <w:jc w:val="both"/>
      </w:pPr>
      <w:r>
        <w:rPr>
          <w:rFonts w:ascii="Arial" w:cs="Arial" w:eastAsia="Arial" w:hAnsi="Arial"/>
          <w:sz w:val="24"/>
          <w:szCs w:val="24"/>
        </w:rPr>
        <w:t xml:space="preserve">- полнота охвата фермеров.</w:t>
      </w:r>
    </w:p>
    <w:p>
      <w:pPr>
        <w:spacing w:after="120"/>
        <w:ind w:firstLine="567"/>
        <w:jc w:val="both"/>
      </w:pPr>
      <w:r>
        <w:rPr>
          <w:rFonts w:ascii="Arial" w:cs="Arial" w:eastAsia="Arial" w:hAnsi="Arial"/>
          <w:sz w:val="24"/>
          <w:szCs w:val="24"/>
        </w:rPr>
        <w:t xml:space="preserve">Критерии и оценка эффективности использования сельскохозяйственными товаропроизводителями и субконтракторами кредитных средств определяются кластерными объединениями и представляются в Министерство водных ресурсов, сельского хозяйства и перерабатывающей промышленности Кыргызской Республики в виде информации по состоянию на 31 декабря отчетного года.</w:t>
      </w:r>
    </w:p>
    <w:p>
      <w:pPr>
        <w:spacing w:after="120"/>
        <w:ind w:firstLine="567"/>
        <w:jc w:val="both"/>
      </w:pPr>
      <w:r>
        <w:rPr>
          <w:rFonts w:ascii="Arial" w:cs="Arial" w:eastAsia="Arial" w:hAnsi="Arial"/>
          <w:sz w:val="24"/>
          <w:szCs w:val="24"/>
        </w:rPr>
        <w:t xml:space="preserve">40. Банки-участники ежеквартально предоставляют информацию о выданных кредитах (посубъектно) в Министерство водных ресурсов, сельского хозяйства и перерабатывающей промышленности Кыргызской Республики для сведения (конфиденциально).</w:t>
      </w:r>
    </w:p>
    <w:p>
      <w:pPr>
        <w:spacing w:after="120"/>
        <w:ind w:firstLine="567"/>
        <w:jc w:val="both"/>
      </w:pPr>
      <w:r>
        <w:rPr>
          <w:rFonts w:ascii="Arial" w:cs="Arial" w:eastAsia="Arial" w:hAnsi="Arial"/>
          <w:sz w:val="24"/>
          <w:szCs w:val="24"/>
        </w:rPr>
        <w:t xml:space="preserve">41. Кластерные объединения ежеквартально представляют в Министерство водных ресурсов, сельского хозяйства и перерабатывающей промышленности Кыргызской Республики агрегированную информацию о воздействии кредитов на экономические показатели заемщика и кластера.</w:t>
      </w:r>
    </w:p>
    <w:p>
      <w:pPr>
        <w:spacing w:after="120"/>
        <w:ind w:firstLine="567"/>
        <w:jc w:val="both"/>
      </w:pPr>
      <w:r>
        <w:rPr>
          <w:rFonts w:ascii="Arial" w:cs="Arial" w:eastAsia="Arial" w:hAnsi="Arial"/>
          <w:sz w:val="24"/>
          <w:szCs w:val="24"/>
        </w:rPr>
        <w:t xml:space="preserve">42. Анализ эффективности Проекта Министерством водных ресурсов, сельского хозяйства и перерабатывающей промышленности Кыргызской Республики представляется в Кабинет Министров Кыргызской Республики ежегодно до 1 июля следующего года с начала реализации Проекта до его полного завершения.".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tb8jujgp0nwt3rh6bg8z0">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32"/>
          <w:szCs w:val="32"/>
        </w:rPr>
        <w:t xml:space="preserve">ПРОЕКТ
 "Кредитование агропромышленного комплекса путем реализации механизма субсидирования"</w:t>
      </w:r>
    </w:p>
    <w:p>
      <w:pPr>
        <w:spacing w:after="240" w:before="200"/>
        <w:jc w:val="center"/>
      </w:pPr>
      <w:r>
        <w:rPr>
          <w:rFonts w:ascii="Arial" w:cs="Arial" w:eastAsia="Arial" w:hAnsi="Arial"/>
          <w:b/>
          <w:bCs/>
          <w:sz w:val="32"/>
          <w:szCs w:val="32"/>
        </w:rPr>
        <w:t xml:space="preserve">Глава 1. Описание реализации Проекта</w:t>
      </w:r>
    </w:p>
    <w:p>
      <w:pPr>
        <w:spacing w:after="120"/>
        <w:ind w:firstLine="567"/>
        <w:jc w:val="both"/>
      </w:pPr>
      <w:r>
        <w:rPr>
          <w:rFonts w:ascii="Arial" w:cs="Arial" w:eastAsia="Arial" w:hAnsi="Arial"/>
          <w:sz w:val="24"/>
          <w:szCs w:val="24"/>
        </w:rPr>
        <w:t xml:space="preserve">1. В рамках реализации проекта "Кредитование агропромышленного комплекса путем реализации механизма субсидирования" (далее - Проект) в течение 2024 года финансовые средства открытого акционерного общества (далее - ОАО) "Айыл Банк" будут предоставляться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2. Для получения субсидий в рамках Проекта ОАО "Айыл Банк" обязано предоставить в Министерство финансов Кыргызской Республики заявку на субсидирование,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3.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год для перечисления в ОАО "Айыл Банк" транша субсидий.</w:t>
      </w:r>
    </w:p>
    <w:p>
      <w:pPr>
        <w:spacing w:after="120"/>
        <w:ind w:firstLine="567"/>
        <w:jc w:val="both"/>
      </w:pPr>
      <w:r>
        <w:rPr>
          <w:rFonts w:ascii="Arial" w:cs="Arial" w:eastAsia="Arial" w:hAnsi="Arial"/>
          <w:sz w:val="24"/>
          <w:szCs w:val="24"/>
        </w:rPr>
        <w:t xml:space="preserve">4. Транши субсидий переводятся на расчетный счет ОАО "Айыл Банк"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240" w:before="200"/>
        <w:jc w:val="center"/>
      </w:pPr>
      <w:r>
        <w:rPr>
          <w:rFonts w:ascii="Arial" w:cs="Arial" w:eastAsia="Arial" w:hAnsi="Arial"/>
          <w:b/>
          <w:bCs/>
          <w:sz w:val="32"/>
          <w:szCs w:val="32"/>
        </w:rPr>
        <w:t xml:space="preserve">Глава 2. Расчет субсидий</w:t>
      </w:r>
    </w:p>
    <w:p>
      <w:pPr>
        <w:spacing w:after="120"/>
        <w:ind w:firstLine="567"/>
        <w:jc w:val="both"/>
      </w:pPr>
      <w:r>
        <w:rPr>
          <w:rFonts w:ascii="Arial" w:cs="Arial" w:eastAsia="Arial" w:hAnsi="Arial"/>
          <w:sz w:val="24"/>
          <w:szCs w:val="24"/>
        </w:rPr>
        <w:t xml:space="preserve">5. Для покрытия расходов ОАО "Айыл Банк" при предоставлении субсидий по процентным ставкам субъектам настоящего Проекта принимаются следующие расчетные коэффициенты субсидирования от ежемесячного объема кредитования указанного банка согласно данным Национального банка Кыргызской Республики за 9 месяцев 2024 года:</w:t>
      </w:r>
    </w:p>
    <w:p>
      <w:pPr>
        <w:spacing w:after="120"/>
        <w:ind w:firstLine="567"/>
        <w:jc w:val="both"/>
      </w:pPr>
      <w:r>
        <w:rPr>
          <w:rFonts w:ascii="Arial" w:cs="Arial" w:eastAsia="Arial" w:hAnsi="Arial"/>
          <w:sz w:val="24"/>
          <w:szCs w:val="24"/>
        </w:rPr>
        <w:t xml:space="preserve">1) ставка субсидирования составляет 9,30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кредитов/лизинговых заявок, выдаваемых сроком на 60 месяцев, расчетный коэффициент субсидирования составляет 25,96. Из них часть субсидий перечисляется в 2024 году по расчетному коэффициенту 8,38; часть - в 2025 году по расчетному коэффициенту 8,02; часть - в 2026 году по расчетному коэффициенту 5,25; часть - в 2027 году по расчетному коэффициенту 3,19 и часть - в 2028 году по расчетному коэффициенту 1,12;</w:t>
      </w:r>
    </w:p>
    <w:p>
      <w:pPr>
        <w:spacing w:after="120"/>
        <w:ind w:firstLine="567"/>
        <w:jc w:val="both"/>
      </w:pPr>
      <w:r>
        <w:rPr>
          <w:rFonts w:ascii="Arial" w:cs="Arial" w:eastAsia="Arial" w:hAnsi="Arial"/>
          <w:sz w:val="24"/>
          <w:szCs w:val="24"/>
        </w:rPr>
        <w:t xml:space="preserve">3) для кредитов/лизинговых заявок, выдаваемых сроком на 36 месяцев, расчетный коэффициент субсидирования составляет 16,67. Из них часть субсидий перечисляется в 2024 году по расчетному коэффициенту 8,27; часть - в 2025 году по расчетному коэффициенту 6,38 и часть - в 2026 году по расчетному коэффициенту 2,02.</w:t>
      </w:r>
    </w:p>
    <w:p>
      <w:pPr>
        <w:spacing w:after="120"/>
        <w:ind w:firstLine="567"/>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9,30 процента, остается неизменной.</w:t>
      </w:r>
    </w:p>
    <w:p>
      <w:pPr>
        <w:spacing w:after="240" w:before="200"/>
        <w:jc w:val="center"/>
      </w:pPr>
      <w:r>
        <w:rPr>
          <w:rFonts w:ascii="Arial" w:cs="Arial" w:eastAsia="Arial" w:hAnsi="Arial"/>
          <w:b/>
          <w:bCs/>
          <w:sz w:val="32"/>
          <w:szCs w:val="32"/>
        </w:rPr>
        <w:t xml:space="preserve">Глава 3. Перечисление субсидий</w:t>
      </w:r>
    </w:p>
    <w:p>
      <w:pPr>
        <w:spacing w:after="120"/>
        <w:ind w:firstLine="567"/>
        <w:jc w:val="both"/>
      </w:pPr>
      <w:r>
        <w:rPr>
          <w:rFonts w:ascii="Arial" w:cs="Arial" w:eastAsia="Arial" w:hAnsi="Arial"/>
          <w:sz w:val="24"/>
          <w:szCs w:val="24"/>
        </w:rPr>
        <w:t xml:space="preserve">7. Суммы субсидий, определяемые согласно расчетной формуле, перечисляются ОАО "Айыл Банк" Министерством финансов Кыргызской Республики из средств республиканского бюджета пятью траншами, в том числе:</w:t>
      </w:r>
    </w:p>
    <w:p>
      <w:pPr>
        <w:spacing w:after="12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года;</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8. ОАО "Айыл Банк" обязано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обязано представлять заявку, за минусом досрочно погашенных кредитов. ОАО "Айыл Банк" несет ответственность за достоверность представляемой информации по выданным и досрочно погашенным кредитам.</w:t>
      </w:r>
    </w:p>
    <w:p>
      <w:pPr>
        <w:spacing w:after="120"/>
        <w:ind w:firstLine="567"/>
        <w:jc w:val="both"/>
      </w:pPr>
      <w:r>
        <w:rPr>
          <w:rFonts w:ascii="Arial" w:cs="Arial" w:eastAsia="Arial" w:hAnsi="Arial"/>
          <w:sz w:val="24"/>
          <w:szCs w:val="24"/>
        </w:rPr>
        <w:t xml:space="preserve">В случае предоставления недостоверной информации ОАО "Айыл Банк" несет ответственность в соответствии с </w:t>
      </w:r>
      <w:hyperlink w:history="1" r:id="rIdfy36miadbfxoldndhl-r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240" w:before="200"/>
        <w:jc w:val="center"/>
      </w:pPr>
      <w:r>
        <w:rPr>
          <w:rFonts w:ascii="Arial" w:cs="Arial" w:eastAsia="Arial" w:hAnsi="Arial"/>
          <w:b/>
          <w:bCs/>
          <w:sz w:val="32"/>
          <w:szCs w:val="32"/>
        </w:rPr>
        <w:t xml:space="preserve">Глава 4. Риски и угрозы</w:t>
      </w:r>
    </w:p>
    <w:p>
      <w:pPr>
        <w:spacing w:after="120"/>
        <w:ind w:firstLine="567"/>
        <w:jc w:val="both"/>
      </w:pPr>
      <w:r>
        <w:rPr>
          <w:rFonts w:ascii="Arial" w:cs="Arial" w:eastAsia="Arial" w:hAnsi="Arial"/>
          <w:sz w:val="24"/>
          <w:szCs w:val="24"/>
        </w:rPr>
        <w:t xml:space="preserve">9. При реализации Проекта имеется риск нецелевого использования средств получателями льготных кредитов/лизинговых заявок.</w:t>
      </w:r>
    </w:p>
    <w:p>
      <w:pPr>
        <w:spacing w:after="120"/>
        <w:ind w:firstLine="567"/>
        <w:jc w:val="both"/>
      </w:pPr>
      <w:r>
        <w:rPr>
          <w:rFonts w:ascii="Arial" w:cs="Arial" w:eastAsia="Arial" w:hAnsi="Arial"/>
          <w:sz w:val="24"/>
          <w:szCs w:val="24"/>
        </w:rPr>
        <w:t xml:space="preserve">10. Минимизация указанного риска осуществляется ОАО "Айыл Банк" в установленном порядке.</w:t>
      </w:r>
    </w:p>
    <w:p>
      <w:pPr>
        <w:spacing w:after="120"/>
        <w:ind w:firstLine="567"/>
        <w:jc w:val="both"/>
      </w:pPr>
      <w:r>
        <w:rPr>
          <w:rFonts w:ascii="Arial" w:cs="Arial" w:eastAsia="Arial" w:hAnsi="Arial"/>
          <w:sz w:val="24"/>
          <w:szCs w:val="24"/>
        </w:rPr>
        <w:t xml:space="preserve">11. При обнаружении факта нецелевого использования кредитных средств ОАО "Айыл Банк" должно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рамках действующих процентных ставок на момент обнаружения факта нецелевого использования кредитных средств. Процентная ставка увеличивается со дня выдачи кредита. В этом случае ОАО "Айыл Банк" обязуется вернуть Министерству финансов Кыргызской Республики полученные средства субсидий, кроме случаев досрочного погашения.</w:t>
      </w:r>
    </w:p>
    <w:p>
      <w:pPr>
        <w:spacing w:after="120"/>
        <w:ind w:firstLine="567"/>
        <w:jc w:val="both"/>
      </w:pPr>
      <w:r>
        <w:rPr>
          <w:rFonts w:ascii="Arial" w:cs="Arial" w:eastAsia="Arial" w:hAnsi="Arial"/>
          <w:sz w:val="24"/>
          <w:szCs w:val="24"/>
        </w:rPr>
        <w:t xml:space="preserve">12. С целью минимизации риска необоснованного получения субсидий ОАО "Айыл Банк" Министерство водных ресурсов, сельского хозяйства и перерабатывающей промышленности Кыргызской Республики осуществляет выборочный мониторинг целевого использования кредитов и финансирования, в том числе в соответствии с исламскими принципами.".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evtzrud8qnb1p2-_cya">
      <w:r>
        <w:rPr>
          <w:rFonts w:ascii="Arial" w:cs="Arial" w:eastAsia="Arial" w:hAnsi="Arial"/>
          <w:color w:val="132D3F"/>
          <w:sz w:val="16"/>
          <w:szCs w:val="16"/>
          <w:u w:val="single"/>
        </w:rPr>
        <w:t xml:space="preserve">dalil.kg/document/230020929</w:t>
      </w:r>
    </w:hyperlink>
  </w:p>
  <w:p>
    <w:pPr>
      <w:spacing w:after="0" w:before="40"/>
      <w:jc w:val="center"/>
    </w:pPr>
    <w:hyperlink w:history="1" r:id="rIdd5fna0k3ecufgb5ztqv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ipq1th6rggrwr1iai0i" Type="http://schemas.openxmlformats.org/officeDocument/2006/relationships/hyperlink" Target="https://dalil.kg/document/112301#st_13" TargetMode="External"/><Relationship Id="rIdql2btva65emmt3s2xdayp" Type="http://schemas.openxmlformats.org/officeDocument/2006/relationships/hyperlink" Target="https://dalil.kg/document/112301#st_17" TargetMode="External"/><Relationship Id="rIdlicggwefghaumk9mk0d2i" Type="http://schemas.openxmlformats.org/officeDocument/2006/relationships/hyperlink" Target="https://dalil.kg/document/219019" TargetMode="External"/><Relationship Id="rIdriiegzlp-k-kgczdtmh4z" Type="http://schemas.openxmlformats.org/officeDocument/2006/relationships/hyperlink" Target="https://dalil.kg/document/219019#pr1" TargetMode="External"/><Relationship Id="rId4oczfq2hqcv5usvmsgsee" Type="http://schemas.openxmlformats.org/officeDocument/2006/relationships/hyperlink" Target="https://dalil.kg/document/230020929#pr1" TargetMode="External"/><Relationship Id="rIdgxqse2tzsjynhmp1cqb5q" Type="http://schemas.openxmlformats.org/officeDocument/2006/relationships/hyperlink" Target="https://dalil.kg/document/219019#pr2" TargetMode="External"/><Relationship Id="rIdmwc8oxneicjpfdmalgazg" Type="http://schemas.openxmlformats.org/officeDocument/2006/relationships/hyperlink" Target="https://dalil.kg/document/230020929#pr2" TargetMode="External"/><Relationship Id="rIdj20ekhzbeho31bnaxou9k" Type="http://schemas.openxmlformats.org/officeDocument/2006/relationships/hyperlink" Target="https://dalil.kg/document/219019#pr1" TargetMode="External"/><Relationship Id="rIdko3e6hfsdcxkapy30xizc" Type="http://schemas.openxmlformats.org/officeDocument/2006/relationships/hyperlink" Target="https://dalil.kg/document/430381" TargetMode="External"/><Relationship Id="rIdkfpccp3u1-lqmvhmgf4j3" Type="http://schemas.openxmlformats.org/officeDocument/2006/relationships/hyperlink" Target="https://dalil.kg/document/112303" TargetMode="External"/><Relationship Id="rIdphejqzhhutmht1ksn3y5l" Type="http://schemas.openxmlformats.org/officeDocument/2006/relationships/hyperlink" Target="https://dalil.kg/document/111716" TargetMode="External"/><Relationship Id="rId3sd2kns3wlolzzu_huasn" Type="http://schemas.openxmlformats.org/officeDocument/2006/relationships/hyperlink" Target="https://dalil.kg/document/112303" TargetMode="External"/><Relationship Id="rIdcnvn35mngrolmcbdxueld" Type="http://schemas.openxmlformats.org/officeDocument/2006/relationships/hyperlink" Target="https://dalil.kg/document/111716" TargetMode="External"/><Relationship Id="rIdtb8jujgp0nwt3rh6bg8z0" Type="http://schemas.openxmlformats.org/officeDocument/2006/relationships/hyperlink" Target="https://dalil.kg/document/219019#pr2" TargetMode="External"/><Relationship Id="rIdfy36miadbfxoldndhl-ry"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evtzrud8qnb1p2-_cya" Type="http://schemas.openxmlformats.org/officeDocument/2006/relationships/hyperlink" Target="https://dalil.kg/document/230020929" TargetMode="External"/><Relationship Id="rIdd5fna0k3ecufgb5ztqv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2026-09-25T19:47:26.162Z</dcterms:created>
  <dcterms:modified xsi:type="dcterms:W3CDTF">2026-09-25T19:47:26.162Z</dcterms:modified>
</cp:coreProperties>
</file>

<file path=docProps/custom.xml><?xml version="1.0" encoding="utf-8"?>
<Properties xmlns="http://schemas.openxmlformats.org/officeDocument/2006/custom-properties" xmlns:vt="http://schemas.openxmlformats.org/officeDocument/2006/docPropsVTypes"/>
</file>