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ДЕЙСТВИЕ ОТМЕНЕНО
 в соответствии с </w:t>
      </w:r>
      <w:hyperlink w:history="1" r:id="rIdlxm_p1ei6d9tdg4_opifs">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25 января 2025 года № 31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31 декабря 2024 года № 823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в сфере оборота виртуальных активов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повышения эффективности деятельности поставщиков услуг виртуальных активов, в соответствии со статьями </w:t>
      </w:r>
      <w:hyperlink w:history="1" r:id="rIdn5dtvirlzrcbtbsgvpcr2">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dd905kr-atrdaninpn334">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k947mtdr7rf-i7go83fmn">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rsmi5lamkwg0__y2re0p1">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jaswxca2lr5n9p_ldtewz">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dazz1le-ww-esqfgalwmv">
        <w:r>
          <w:rPr>
            <w:rFonts w:ascii="Arial" w:cs="Arial" w:eastAsia="Arial" w:hAnsi="Arial"/>
            <w:color w:val="1D4ED8"/>
            <w:sz w:val="24"/>
            <w:szCs w:val="24"/>
            <w:u w:val="single"/>
          </w:rPr>
          <w:t xml:space="preserve">28 </w:t>
        </w:r>
      </w:hyperlink>
      <w:r>
        <w:rPr>
          <w:rFonts w:ascii="Arial" w:cs="Arial" w:eastAsia="Arial" w:hAnsi="Arial"/>
          <w:sz w:val="24"/>
          <w:szCs w:val="24"/>
        </w:rPr>
        <w:t xml:space="preserve">Закона Кыргызской Республики "О виртуальных активах", статьями </w:t>
      </w:r>
      <w:hyperlink w:history="1" r:id="rIdtcdowqmcxbg5natc2u2v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8ujxxr-divy4gojvgtiz">
        <w:r>
          <w:rPr>
            <w:rFonts w:ascii="Arial" w:cs="Arial" w:eastAsia="Arial" w:hAnsi="Arial"/>
            <w:color w:val="1D4ED8"/>
            <w:sz w:val="24"/>
            <w:szCs w:val="24"/>
            <w:u w:val="single"/>
          </w:rPr>
          <w:t xml:space="preserve">17 </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qckycaqjbbg8et1hhzxis">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 вопросах подведомственных подразделений и организаций Министерства экономики и коммерции Кыргызской Республики" от 10 декабря 2021 года № 300 следующие изменения:</w:t>
      </w:r>
    </w:p>
    <w:p>
      <w:pPr>
        <w:spacing w:after="120"/>
        <w:ind w:firstLine="567"/>
        <w:jc w:val="both"/>
      </w:pPr>
      <w:r>
        <w:rPr>
          <w:rFonts w:ascii="Arial" w:cs="Arial" w:eastAsia="Arial" w:hAnsi="Arial"/>
          <w:sz w:val="24"/>
          <w:szCs w:val="24"/>
        </w:rPr>
        <w:t xml:space="preserve">в </w:t>
      </w:r>
      <w:hyperlink w:history="1" r:id="rIdov6hhldf-ktbosbeiapb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Службе регулирования и надзора за финансовым рынком при Министерстве экономики и коммерции Кыргызской Республики, утвержденном вышеуказанным </w:t>
      </w:r>
      <w:hyperlink w:history="1" r:id="rIdqbcmhz_jjlyqcwi1hriv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абзац второй пункта 3 после слов "рынок ценных бумаг" дополнить словами ", рынок виртуальных активов";</w:t>
      </w:r>
    </w:p>
    <w:p>
      <w:pPr>
        <w:spacing w:after="120"/>
        <w:ind w:firstLine="567"/>
        <w:jc w:val="both"/>
      </w:pPr>
      <w:r>
        <w:rPr>
          <w:rFonts w:ascii="Arial" w:cs="Arial" w:eastAsia="Arial" w:hAnsi="Arial"/>
          <w:sz w:val="24"/>
          <w:szCs w:val="24"/>
        </w:rPr>
        <w:t xml:space="preserve">- пункт 14 дополнить подпунктом 50 следующего содержания:</w:t>
      </w:r>
    </w:p>
    <w:p>
      <w:pPr>
        <w:spacing w:after="120"/>
        <w:ind w:firstLine="567"/>
        <w:jc w:val="both"/>
      </w:pPr>
      <w:r>
        <w:rPr>
          <w:rFonts w:ascii="Arial" w:cs="Arial" w:eastAsia="Arial" w:hAnsi="Arial"/>
          <w:sz w:val="24"/>
          <w:szCs w:val="24"/>
        </w:rPr>
        <w:t xml:space="preserve">"50) осуществлять контрольный закуп виртуальных активов у поставщиков услуг виртуальных активов.";</w:t>
      </w:r>
    </w:p>
    <w:p>
      <w:pPr>
        <w:spacing w:after="120"/>
        <w:ind w:firstLine="567"/>
        <w:jc w:val="both"/>
      </w:pPr>
      <w:r>
        <w:rPr>
          <w:rFonts w:ascii="Arial" w:cs="Arial" w:eastAsia="Arial" w:hAnsi="Arial"/>
          <w:sz w:val="24"/>
          <w:szCs w:val="24"/>
        </w:rPr>
        <w:t xml:space="preserve">- пункт 20 дополнить абзацем четвертым следующего содержания:</w:t>
      </w:r>
    </w:p>
    <w:p>
      <w:pPr>
        <w:spacing w:after="120"/>
        <w:ind w:firstLine="567"/>
        <w:jc w:val="both"/>
      </w:pPr>
      <w:r>
        <w:rPr>
          <w:rFonts w:ascii="Arial" w:cs="Arial" w:eastAsia="Arial" w:hAnsi="Arial"/>
          <w:sz w:val="24"/>
          <w:szCs w:val="24"/>
        </w:rPr>
        <w:t xml:space="preserve">"- средств фонда, созданного в целях осуществления контрольных закупок виртуальных активов у поставщиков услуг виртуальных активов;".</w:t>
      </w:r>
    </w:p>
    <w:p>
      <w:pPr>
        <w:spacing w:after="120"/>
        <w:ind w:firstLine="567"/>
        <w:jc w:val="both"/>
      </w:pPr>
      <w:r>
        <w:rPr>
          <w:rFonts w:ascii="Arial" w:cs="Arial" w:eastAsia="Arial" w:hAnsi="Arial"/>
          <w:sz w:val="24"/>
          <w:szCs w:val="24"/>
        </w:rPr>
        <w:t xml:space="preserve">2. Внести в </w:t>
      </w:r>
      <w:hyperlink w:history="1" r:id="rIdwhiytsp9lrthzs8-bdzu3">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 вопросах регулирования отношений, возникающих при обороте виртуальных активов" от 16 сентября 2022 года № 514 следующие изменения:</w:t>
      </w:r>
    </w:p>
    <w:p>
      <w:pPr>
        <w:spacing w:after="120"/>
        <w:ind w:firstLine="567"/>
        <w:jc w:val="both"/>
      </w:pPr>
      <w:r>
        <w:rPr>
          <w:rFonts w:ascii="Arial" w:cs="Arial" w:eastAsia="Arial" w:hAnsi="Arial"/>
          <w:sz w:val="24"/>
          <w:szCs w:val="24"/>
        </w:rPr>
        <w:t xml:space="preserve">1) дополнить пунктом 3-1 следующего содержания:</w:t>
      </w:r>
    </w:p>
    <w:p>
      <w:pPr>
        <w:spacing w:after="120"/>
        <w:ind w:firstLine="567"/>
        <w:jc w:val="both"/>
      </w:pPr>
      <w:r>
        <w:rPr>
          <w:rFonts w:ascii="Arial" w:cs="Arial" w:eastAsia="Arial" w:hAnsi="Arial"/>
          <w:sz w:val="24"/>
          <w:szCs w:val="24"/>
        </w:rPr>
        <w:t xml:space="preserve">"3-1. Действующим поставщикам услуг виртуальных активов привести размер уставного капитала в соответствие с требованиями нормативных правовых актов в срок до 1 января 2026 года.";</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Положении </w:t>
      </w:r>
      <w:r>
        <w:rPr>
          <w:rFonts w:ascii="Arial" w:cs="Arial" w:eastAsia="Arial" w:hAnsi="Arial"/>
          <w:sz w:val="24"/>
          <w:szCs w:val="24"/>
        </w:rPr>
        <w:t xml:space="preserve">о деятельности оператора торгов виртуальных активов (криптобиржи) и ведении Реестра операторов торгов виртуальных активов (криптобирж), утвержденном вышеуказанным </w:t>
      </w:r>
      <w:hyperlink w:history="1" r:id="rId41tkctte3ec8-fy_jort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2:</w:t>
      </w:r>
    </w:p>
    <w:p>
      <w:pPr>
        <w:spacing w:after="120"/>
        <w:ind w:firstLine="567"/>
        <w:jc w:val="both"/>
      </w:pPr>
      <w:r>
        <w:rPr>
          <w:rFonts w:ascii="Arial" w:cs="Arial" w:eastAsia="Arial" w:hAnsi="Arial"/>
          <w:sz w:val="24"/>
          <w:szCs w:val="24"/>
        </w:rPr>
        <w:t xml:space="preserve">абзац третий признать утратившим силу;</w:t>
      </w:r>
    </w:p>
    <w:p>
      <w:pPr>
        <w:spacing w:after="120"/>
        <w:ind w:firstLine="567"/>
        <w:jc w:val="both"/>
      </w:pPr>
      <w:r>
        <w:rPr>
          <w:rFonts w:ascii="Arial" w:cs="Arial" w:eastAsia="Arial" w:hAnsi="Arial"/>
          <w:sz w:val="24"/>
          <w:szCs w:val="24"/>
        </w:rPr>
        <w:t xml:space="preserve">абзац четвертый изложить в следующей редакции:</w:t>
      </w:r>
    </w:p>
    <w:p>
      <w:pPr>
        <w:spacing w:after="120"/>
        <w:ind w:firstLine="567"/>
        <w:jc w:val="both"/>
      </w:pPr>
      <w:r>
        <w:rPr>
          <w:rFonts w:ascii="Arial" w:cs="Arial" w:eastAsia="Arial" w:hAnsi="Arial"/>
          <w:sz w:val="24"/>
          <w:szCs w:val="24"/>
        </w:rPr>
        <w:t xml:space="preserve">"клиенты - контрагенты оператора торгов виртуальных активов (криптобиржи), физические и юридические лица, в том числе иностранные физические/юридические лица, осуществляющие сделки (операции) на специализированной платформе оператора торгов виртуальных активов (криптобиржи) от своего имени, собственными средствами и в своих интересах;";</w:t>
      </w:r>
    </w:p>
    <w:p>
      <w:pPr>
        <w:spacing w:after="120"/>
        <w:ind w:firstLine="567"/>
        <w:jc w:val="both"/>
      </w:pPr>
      <w:r>
        <w:rPr>
          <w:rFonts w:ascii="Arial" w:cs="Arial" w:eastAsia="Arial" w:hAnsi="Arial"/>
          <w:sz w:val="24"/>
          <w:szCs w:val="24"/>
        </w:rPr>
        <w:t xml:space="preserve">дополнить абзацем двадцать третьим следующего содержания:</w:t>
      </w:r>
    </w:p>
    <w:p>
      <w:pPr>
        <w:spacing w:after="120"/>
        <w:ind w:firstLine="567"/>
        <w:jc w:val="both"/>
      </w:pPr>
      <w:r>
        <w:rPr>
          <w:rFonts w:ascii="Arial" w:cs="Arial" w:eastAsia="Arial" w:hAnsi="Arial"/>
          <w:sz w:val="24"/>
          <w:szCs w:val="24"/>
        </w:rPr>
        <w:t xml:space="preserve">"крипто-банкомат - автоматизированная система обмена фиатных средств и виртуальных активов;";</w:t>
      </w:r>
    </w:p>
    <w:p>
      <w:pPr>
        <w:spacing w:after="120"/>
        <w:ind w:firstLine="567"/>
        <w:jc w:val="both"/>
      </w:pPr>
      <w:r>
        <w:rPr>
          <w:rFonts w:ascii="Arial" w:cs="Arial" w:eastAsia="Arial" w:hAnsi="Arial"/>
          <w:sz w:val="24"/>
          <w:szCs w:val="24"/>
        </w:rPr>
        <w:t xml:space="preserve">- пункт 5 изложить в следующей редакции:</w:t>
      </w:r>
    </w:p>
    <w:p>
      <w:pPr>
        <w:spacing w:after="120"/>
        <w:ind w:firstLine="567"/>
        <w:jc w:val="both"/>
      </w:pPr>
      <w:r>
        <w:rPr>
          <w:rFonts w:ascii="Arial" w:cs="Arial" w:eastAsia="Arial" w:hAnsi="Arial"/>
          <w:sz w:val="24"/>
          <w:szCs w:val="24"/>
        </w:rPr>
        <w:t xml:space="preserve">"5. В случае если оператор торгов виртуальных активов (криптобиржа) хранит активы пользователей на своих балансах, он обязан обеспечить раздельный учет финансовых активов оператора торгов виртуальных активов (криптобиржи), электронных виртуальных активов, денежных средств, находящихся у оператора торгов виртуальных активов (криптобиржи).";</w:t>
      </w:r>
    </w:p>
    <w:p>
      <w:pPr>
        <w:spacing w:after="120"/>
        <w:ind w:firstLine="567"/>
        <w:jc w:val="both"/>
      </w:pPr>
      <w:r>
        <w:rPr>
          <w:rFonts w:ascii="Arial" w:cs="Arial" w:eastAsia="Arial" w:hAnsi="Arial"/>
          <w:sz w:val="24"/>
          <w:szCs w:val="24"/>
        </w:rPr>
        <w:t xml:space="preserve">- абзац третий пункта 11 на государственном языке признать утратившим силу;</w:t>
      </w:r>
    </w:p>
    <w:p>
      <w:pPr>
        <w:spacing w:after="120"/>
        <w:ind w:firstLine="567"/>
        <w:jc w:val="both"/>
      </w:pPr>
      <w:r>
        <w:rPr>
          <w:rFonts w:ascii="Arial" w:cs="Arial" w:eastAsia="Arial" w:hAnsi="Arial"/>
          <w:sz w:val="24"/>
          <w:szCs w:val="24"/>
        </w:rPr>
        <w:t xml:space="preserve">- пункт 18 изложить в следующей редакции:</w:t>
      </w:r>
    </w:p>
    <w:p>
      <w:pPr>
        <w:spacing w:after="120"/>
        <w:ind w:firstLine="567"/>
        <w:jc w:val="both"/>
      </w:pPr>
      <w:r>
        <w:rPr>
          <w:rFonts w:ascii="Arial" w:cs="Arial" w:eastAsia="Arial" w:hAnsi="Arial"/>
          <w:sz w:val="24"/>
          <w:szCs w:val="24"/>
        </w:rPr>
        <w:t xml:space="preserve">"18. Централизованный оператор торгов виртуальных активов (криптобиржа) обязан проводить процедуру надлежащей проверки клиента, установленную внутренними правилами оператора торгов виртуальных активов,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и в сфере оборота виртуальных активов.</w:t>
      </w:r>
    </w:p>
    <w:p>
      <w:pPr>
        <w:spacing w:after="120"/>
        <w:ind w:firstLine="567"/>
        <w:jc w:val="both"/>
      </w:pPr>
      <w:r>
        <w:rPr>
          <w:rFonts w:ascii="Arial" w:cs="Arial" w:eastAsia="Arial" w:hAnsi="Arial"/>
          <w:sz w:val="24"/>
          <w:szCs w:val="24"/>
        </w:rPr>
        <w:t xml:space="preserve">Все проверки транзакций юридических и физических лиц по виртуальным активам в рамках соблюдения мер по противодействию финансированию террористической деятельности и легализации (отмыванию) преступных доходов (AML) в обязательном порядке должны проходить через информационную систему (программное обеспечение), определенную уполномоченным органом.";</w:t>
      </w:r>
    </w:p>
    <w:p>
      <w:pPr>
        <w:spacing w:after="120"/>
        <w:ind w:firstLine="567"/>
        <w:jc w:val="both"/>
      </w:pPr>
      <w:r>
        <w:rPr>
          <w:rFonts w:ascii="Arial" w:cs="Arial" w:eastAsia="Arial" w:hAnsi="Arial"/>
          <w:sz w:val="24"/>
          <w:szCs w:val="24"/>
        </w:rPr>
        <w:t xml:space="preserve">- дополнить пунктом 18-1 следующего содержания:</w:t>
      </w:r>
    </w:p>
    <w:p>
      <w:pPr>
        <w:spacing w:after="120"/>
        <w:ind w:firstLine="567"/>
        <w:jc w:val="both"/>
      </w:pPr>
      <w:r>
        <w:rPr>
          <w:rFonts w:ascii="Arial" w:cs="Arial" w:eastAsia="Arial" w:hAnsi="Arial"/>
          <w:sz w:val="24"/>
          <w:szCs w:val="24"/>
        </w:rPr>
        <w:t xml:space="preserve">"18-1. До совершения с гражданами Кыргызской Республики сделок по продаже им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торгов виртуальных активов (криптобиржа) обязан убедиться в том, что они обладают достаточным уровнем знаний (компетентности) для совершения таких сделок. Оператор торгов виртуальных активов (криптобиржа) не вправе совершать названные сделки с теми гражданами Кыргызской Республики, в отношении которых он установил, что они таким уровнем знаний (компетентности) не обладают.</w:t>
      </w:r>
    </w:p>
    <w:p>
      <w:pPr>
        <w:spacing w:after="120"/>
        <w:ind w:firstLine="567"/>
        <w:jc w:val="both"/>
      </w:pPr>
      <w:r>
        <w:rPr>
          <w:rFonts w:ascii="Arial" w:cs="Arial" w:eastAsia="Arial" w:hAnsi="Arial"/>
          <w:sz w:val="24"/>
          <w:szCs w:val="24"/>
        </w:rPr>
        <w:t xml:space="preserve">Определение уровня знаний (компетентности) для совершения сделок, указанных в настоящем пункте, производится оператором торгов виртуальных активов (криптобиржей) посредством представления гражданам Кыргызской Республики вопросника (теста) для заполнения (решения).</w:t>
      </w:r>
    </w:p>
    <w:p>
      <w:pPr>
        <w:spacing w:after="120"/>
        <w:ind w:firstLine="56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56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(тридцати) календарных дней со дня регистрации уведомления информирует оператора торгов виртуальных активов о необходимости проработки вопросника (теста).</w:t>
      </w:r>
    </w:p>
    <w:p>
      <w:pPr>
        <w:spacing w:after="120"/>
        <w:ind w:firstLine="567"/>
        <w:jc w:val="both"/>
      </w:pPr>
      <w:r>
        <w:rPr>
          <w:rFonts w:ascii="Arial" w:cs="Arial" w:eastAsia="Arial" w:hAnsi="Arial"/>
          <w:sz w:val="24"/>
          <w:szCs w:val="24"/>
        </w:rPr>
        <w:t xml:space="preserve">Оператор торгов виртуальных активов (криптобиржа) должен информировать клиента о рисках при осуществлении сделок с виртуальными активами.";</w:t>
      </w:r>
    </w:p>
    <w:p>
      <w:pPr>
        <w:spacing w:after="120"/>
        <w:ind w:firstLine="567"/>
        <w:jc w:val="both"/>
      </w:pPr>
      <w:r>
        <w:rPr>
          <w:rFonts w:ascii="Arial" w:cs="Arial" w:eastAsia="Arial" w:hAnsi="Arial"/>
          <w:sz w:val="24"/>
          <w:szCs w:val="24"/>
        </w:rPr>
        <w:t xml:space="preserve">- пункт 23 дополнить абзацами следующего содержания:</w:t>
      </w:r>
    </w:p>
    <w:p>
      <w:pPr>
        <w:spacing w:after="120"/>
        <w:ind w:firstLine="567"/>
        <w:jc w:val="both"/>
      </w:pPr>
      <w:r>
        <w:rPr>
          <w:rFonts w:ascii="Arial" w:cs="Arial" w:eastAsia="Arial" w:hAnsi="Arial"/>
          <w:sz w:val="24"/>
          <w:szCs w:val="24"/>
        </w:rPr>
        <w:t xml:space="preserve">"- вопросник (тест), определяющий уровень знаний (компетентности) клиентов.</w:t>
      </w:r>
    </w:p>
    <w:p>
      <w:pPr>
        <w:spacing w:after="120"/>
        <w:ind w:firstLine="567"/>
        <w:jc w:val="both"/>
      </w:pPr>
      <w:r>
        <w:rPr>
          <w:rFonts w:ascii="Arial" w:cs="Arial" w:eastAsia="Arial" w:hAnsi="Arial"/>
          <w:sz w:val="24"/>
          <w:szCs w:val="24"/>
        </w:rPr>
        <w:t xml:space="preserve">Правила биржевой торговли с виртуальными активами должны быть опубликованы на интернет-сайте оператора торгов виртуальными активами и доступны для ознакомления всеми участниками торгов.";</w:t>
      </w:r>
    </w:p>
    <w:p>
      <w:pPr>
        <w:spacing w:after="120"/>
        <w:ind w:firstLine="567"/>
        <w:jc w:val="both"/>
      </w:pPr>
      <w:r>
        <w:rPr>
          <w:rFonts w:ascii="Arial" w:cs="Arial" w:eastAsia="Arial" w:hAnsi="Arial"/>
          <w:sz w:val="24"/>
          <w:szCs w:val="24"/>
        </w:rPr>
        <w:t xml:space="preserve">- абзац первый пункта 30 после слов "Учредители/акционеры" дополнить словами ", бенефициарные владельцы";</w:t>
      </w:r>
    </w:p>
    <w:p>
      <w:pPr>
        <w:spacing w:after="120"/>
        <w:ind w:firstLine="567"/>
        <w:jc w:val="both"/>
      </w:pPr>
      <w:r>
        <w:rPr>
          <w:rFonts w:ascii="Arial" w:cs="Arial" w:eastAsia="Arial" w:hAnsi="Arial"/>
          <w:sz w:val="24"/>
          <w:szCs w:val="24"/>
        </w:rPr>
        <w:t xml:space="preserve">- дополнить пунктом 30-1 следующего содержания:</w:t>
      </w:r>
    </w:p>
    <w:p>
      <w:pPr>
        <w:spacing w:after="120"/>
        <w:ind w:firstLine="567"/>
        <w:jc w:val="both"/>
      </w:pPr>
      <w:r>
        <w:rPr>
          <w:rFonts w:ascii="Arial" w:cs="Arial" w:eastAsia="Arial" w:hAnsi="Arial"/>
          <w:sz w:val="24"/>
          <w:szCs w:val="24"/>
        </w:rPr>
        <w:t xml:space="preserve">"30-1. Должностные лица оператора торгов виртуальных активов подлежат обязательному согласованию с уполномоченным органом.</w:t>
      </w:r>
    </w:p>
    <w:p>
      <w:pPr>
        <w:spacing w:after="120"/>
        <w:ind w:firstLine="567"/>
        <w:jc w:val="both"/>
      </w:pPr>
      <w:r>
        <w:rPr>
          <w:rFonts w:ascii="Arial" w:cs="Arial" w:eastAsia="Arial" w:hAnsi="Arial"/>
          <w:sz w:val="24"/>
          <w:szCs w:val="24"/>
        </w:rPr>
        <w:t xml:space="preserve">Должностными лицами оператора торгов виртуальных активов, кандидатуры которых подлежат согласованию, являются:</w:t>
      </w:r>
    </w:p>
    <w:p>
      <w:pPr>
        <w:spacing w:after="120"/>
        <w:ind w:firstLine="567"/>
        <w:jc w:val="both"/>
      </w:pPr>
      <w:r>
        <w:rPr>
          <w:rFonts w:ascii="Arial" w:cs="Arial" w:eastAsia="Arial" w:hAnsi="Arial"/>
          <w:sz w:val="24"/>
          <w:szCs w:val="24"/>
        </w:rPr>
        <w:t xml:space="preserve">- руководитель и члены совета директоров (при наличии);</w:t>
      </w:r>
    </w:p>
    <w:p>
      <w:pPr>
        <w:spacing w:after="120"/>
        <w:ind w:firstLine="56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567"/>
        <w:jc w:val="both"/>
      </w:pPr>
      <w:r>
        <w:rPr>
          <w:rFonts w:ascii="Arial" w:cs="Arial" w:eastAsia="Arial" w:hAnsi="Arial"/>
          <w:sz w:val="24"/>
          <w:szCs w:val="24"/>
        </w:rPr>
        <w:t xml:space="preserve">- главный бухгалтер или единственный бухгалтер;</w:t>
      </w:r>
    </w:p>
    <w:p>
      <w:pPr>
        <w:spacing w:after="120"/>
        <w:ind w:firstLine="56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567"/>
        <w:jc w:val="both"/>
      </w:pPr>
      <w:r>
        <w:rPr>
          <w:rFonts w:ascii="Arial" w:cs="Arial" w:eastAsia="Arial" w:hAnsi="Arial"/>
          <w:sz w:val="24"/>
          <w:szCs w:val="24"/>
        </w:rPr>
        <w:t xml:space="preserve">Должностное лицо оператора торгов виртуальных активов вправе занимать свою должность без согласования не более 45 (сорок пять) календарных дней со дня его назначения (избрания).</w:t>
      </w:r>
    </w:p>
    <w:p>
      <w:pPr>
        <w:spacing w:after="120"/>
        <w:ind w:firstLine="56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торгов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торгов виртуальных активов без согласования свыше срока, установленного настоящим пунктом.</w:t>
      </w:r>
    </w:p>
    <w:p>
      <w:pPr>
        <w:spacing w:after="120"/>
        <w:ind w:firstLine="567"/>
        <w:jc w:val="both"/>
      </w:pPr>
      <w:r>
        <w:rPr>
          <w:rFonts w:ascii="Arial" w:cs="Arial" w:eastAsia="Arial" w:hAnsi="Arial"/>
          <w:sz w:val="24"/>
          <w:szCs w:val="24"/>
        </w:rPr>
        <w:t xml:space="preserve">Для согласования должностного лица оператор торгов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567"/>
        <w:jc w:val="both"/>
      </w:pPr>
      <w:r>
        <w:rPr>
          <w:rFonts w:ascii="Arial" w:cs="Arial" w:eastAsia="Arial" w:hAnsi="Arial"/>
          <w:sz w:val="24"/>
          <w:szCs w:val="24"/>
        </w:rPr>
        <w:t xml:space="preserve">- решение об избрании/назначении кандидатуры;</w:t>
      </w:r>
    </w:p>
    <w:p>
      <w:pPr>
        <w:spacing w:after="120"/>
        <w:ind w:firstLine="567"/>
        <w:jc w:val="both"/>
      </w:pPr>
      <w:r>
        <w:rPr>
          <w:rFonts w:ascii="Arial" w:cs="Arial" w:eastAsia="Arial" w:hAnsi="Arial"/>
          <w:sz w:val="24"/>
          <w:szCs w:val="24"/>
        </w:rPr>
        <w:t xml:space="preserve">- удостоверение личности кандидата;</w:t>
      </w:r>
    </w:p>
    <w:p>
      <w:pPr>
        <w:spacing w:after="120"/>
        <w:ind w:firstLine="567"/>
        <w:jc w:val="both"/>
      </w:pPr>
      <w:r>
        <w:rPr>
          <w:rFonts w:ascii="Arial" w:cs="Arial" w:eastAsia="Arial" w:hAnsi="Arial"/>
          <w:sz w:val="24"/>
          <w:szCs w:val="24"/>
        </w:rPr>
        <w:t xml:space="preserve">- оригинал справки об отсутствии судимости;</w:t>
      </w:r>
    </w:p>
    <w:p>
      <w:pPr>
        <w:spacing w:after="120"/>
        <w:ind w:firstLine="567"/>
        <w:jc w:val="both"/>
      </w:pPr>
      <w:r>
        <w:rPr>
          <w:rFonts w:ascii="Arial" w:cs="Arial" w:eastAsia="Arial" w:hAnsi="Arial"/>
          <w:sz w:val="24"/>
          <w:szCs w:val="24"/>
        </w:rPr>
        <w:t xml:space="preserve">- оригинал анкеты кандидата по установленной форме согласно приложению 2 к настоящему Положению.</w:t>
      </w:r>
    </w:p>
    <w:p>
      <w:pPr>
        <w:spacing w:after="120"/>
        <w:ind w:firstLine="567"/>
        <w:jc w:val="both"/>
      </w:pPr>
      <w:r>
        <w:rPr>
          <w:rFonts w:ascii="Arial" w:cs="Arial" w:eastAsia="Arial" w:hAnsi="Arial"/>
          <w:sz w:val="24"/>
          <w:szCs w:val="24"/>
        </w:rPr>
        <w:t xml:space="preserve">В случае 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56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торгов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 момента избрания (назначения) с приложением перечисленных выше документов.</w:t>
      </w:r>
    </w:p>
    <w:p>
      <w:pPr>
        <w:spacing w:after="120"/>
        <w:ind w:firstLine="56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56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56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торгов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567"/>
        <w:jc w:val="both"/>
      </w:pPr>
      <w:r>
        <w:rPr>
          <w:rFonts w:ascii="Arial" w:cs="Arial" w:eastAsia="Arial" w:hAnsi="Arial"/>
          <w:sz w:val="24"/>
          <w:szCs w:val="24"/>
        </w:rPr>
        <w:t xml:space="preserve">В выдаче согласия на назначение (избрание) должностных лиц оператора торгов виртуальных активов отказывается по следующим основаниям:</w:t>
      </w:r>
    </w:p>
    <w:p>
      <w:pPr>
        <w:spacing w:after="120"/>
        <w:ind w:firstLine="567"/>
        <w:jc w:val="both"/>
      </w:pPr>
      <w:r>
        <w:rPr>
          <w:rFonts w:ascii="Arial" w:cs="Arial" w:eastAsia="Arial" w:hAnsi="Arial"/>
          <w:sz w:val="24"/>
          <w:szCs w:val="24"/>
        </w:rPr>
        <w:t xml:space="preserve">- несоответствие должностных лиц требованиям, установленным настоящим Положением;</w:t>
      </w:r>
    </w:p>
    <w:p>
      <w:pPr>
        <w:spacing w:after="120"/>
        <w:ind w:firstLine="567"/>
        <w:jc w:val="both"/>
      </w:pPr>
      <w:r>
        <w:rPr>
          <w:rFonts w:ascii="Arial" w:cs="Arial" w:eastAsia="Arial" w:hAnsi="Arial"/>
          <w:sz w:val="24"/>
          <w:szCs w:val="24"/>
        </w:rPr>
        <w:t xml:space="preserve">- неустранение оператором торгов виртуальных активов замечаний или представление оператором торгов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56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567"/>
        <w:jc w:val="both"/>
      </w:pPr>
      <w:r>
        <w:rPr>
          <w:rFonts w:ascii="Arial" w:cs="Arial" w:eastAsia="Arial" w:hAnsi="Arial"/>
          <w:sz w:val="24"/>
          <w:szCs w:val="24"/>
        </w:rPr>
        <w:t xml:space="preserve">Выданное согласие на назначение (избрание) должностного лица оператора торгов виртуальных активов отзывается по следующим основаниям:</w:t>
      </w:r>
    </w:p>
    <w:p>
      <w:pPr>
        <w:spacing w:after="120"/>
        <w:ind w:firstLine="56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567"/>
        <w:jc w:val="both"/>
      </w:pPr>
      <w:r>
        <w:rPr>
          <w:rFonts w:ascii="Arial" w:cs="Arial" w:eastAsia="Arial" w:hAnsi="Arial"/>
          <w:sz w:val="24"/>
          <w:szCs w:val="24"/>
        </w:rPr>
        <w:t xml:space="preserve">- систематическое (3 и более раза в течение последних 12 календарных месяцев) применение уполномоченным органом мер воздействия к должностному лицу и/или оператору торгов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567"/>
        <w:jc w:val="both"/>
      </w:pPr>
      <w:r>
        <w:rPr>
          <w:rFonts w:ascii="Arial" w:cs="Arial" w:eastAsia="Arial" w:hAnsi="Arial"/>
          <w:sz w:val="24"/>
          <w:szCs w:val="24"/>
        </w:rPr>
        <w:t xml:space="preserve">- наличие непогашенной судимости.</w:t>
      </w:r>
    </w:p>
    <w:p>
      <w:pPr>
        <w:spacing w:after="120"/>
        <w:ind w:firstLine="567"/>
        <w:jc w:val="both"/>
      </w:pPr>
      <w:r>
        <w:rPr>
          <w:rFonts w:ascii="Arial" w:cs="Arial" w:eastAsia="Arial" w:hAnsi="Arial"/>
          <w:sz w:val="24"/>
          <w:szCs w:val="24"/>
        </w:rPr>
        <w:t xml:space="preserve">В случае отзыва согласия на назначение (избрание) должностного лица оператора торгов виртуальных активов, оператор торгов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торгов виртуальных активов должен принять меры по прекращению полномочий данного должностного лица.";</w:t>
      </w:r>
    </w:p>
    <w:p>
      <w:pPr>
        <w:spacing w:after="120"/>
        <w:ind w:firstLine="567"/>
        <w:jc w:val="both"/>
      </w:pPr>
      <w:r>
        <w:rPr>
          <w:rFonts w:ascii="Arial" w:cs="Arial" w:eastAsia="Arial" w:hAnsi="Arial"/>
          <w:sz w:val="24"/>
          <w:szCs w:val="24"/>
        </w:rPr>
        <w:t xml:space="preserve">- пункт 35 дополнить абзацем следующего содержания:</w:t>
      </w:r>
    </w:p>
    <w:p>
      <w:pPr>
        <w:spacing w:after="120"/>
        <w:ind w:firstLine="56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торгов виртуальных активов.";</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8</w:t>
      </w:r>
      <w:r>
        <w:rPr>
          <w:rFonts w:ascii="Arial" w:cs="Arial" w:eastAsia="Arial" w:hAnsi="Arial"/>
          <w:sz w:val="24"/>
          <w:szCs w:val="24"/>
        </w:rPr>
        <w:t xml:space="preserve"> дополнить пунктами 39-1 - 39-3 следующего содержания:</w:t>
      </w:r>
    </w:p>
    <w:p>
      <w:pPr>
        <w:spacing w:after="120"/>
        <w:ind w:firstLine="567"/>
        <w:jc w:val="both"/>
      </w:pPr>
      <w:r>
        <w:rPr>
          <w:rFonts w:ascii="Arial" w:cs="Arial" w:eastAsia="Arial" w:hAnsi="Arial"/>
          <w:sz w:val="24"/>
          <w:szCs w:val="24"/>
        </w:rPr>
        <w:t xml:space="preserve">"39-1. Операторам торгов виртуальных активов запрещается:</w:t>
      </w:r>
    </w:p>
    <w:p>
      <w:pPr>
        <w:spacing w:after="120"/>
        <w:ind w:firstLine="567"/>
        <w:jc w:val="both"/>
      </w:pPr>
      <w:r>
        <w:rPr>
          <w:rFonts w:ascii="Arial" w:cs="Arial" w:eastAsia="Arial" w:hAnsi="Arial"/>
          <w:sz w:val="24"/>
          <w:szCs w:val="24"/>
        </w:rPr>
        <w:t xml:space="preserve">1)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 надлежащим образом;</w:t>
      </w:r>
    </w:p>
    <w:p>
      <w:pPr>
        <w:spacing w:after="120"/>
        <w:ind w:firstLine="567"/>
        <w:jc w:val="both"/>
      </w:pPr>
      <w:r>
        <w:rPr>
          <w:rFonts w:ascii="Arial" w:cs="Arial" w:eastAsia="Arial" w:hAnsi="Arial"/>
          <w:sz w:val="24"/>
          <w:szCs w:val="24"/>
        </w:rPr>
        <w:t xml:space="preserve">2) использовать в деятельности виртуальные активы с повышенной конфиденциальностью (Private Coins) и токены с уникальными характеристиками (NFT);</w:t>
      </w:r>
    </w:p>
    <w:p>
      <w:pPr>
        <w:spacing w:after="120"/>
        <w:ind w:firstLine="567"/>
        <w:jc w:val="both"/>
      </w:pPr>
      <w:r>
        <w:rPr>
          <w:rFonts w:ascii="Arial" w:cs="Arial" w:eastAsia="Arial" w:hAnsi="Arial"/>
          <w:sz w:val="24"/>
          <w:szCs w:val="24"/>
        </w:rPr>
        <w:t xml:space="preserve">3) использовать в деятельности предоплаченные карты, выпущенные зарубежными финансовыми учреждениями;</w:t>
      </w:r>
    </w:p>
    <w:p>
      <w:pPr>
        <w:spacing w:after="120"/>
        <w:ind w:firstLine="567"/>
        <w:jc w:val="both"/>
      </w:pPr>
      <w:r>
        <w:rPr>
          <w:rFonts w:ascii="Arial" w:cs="Arial" w:eastAsia="Arial" w:hAnsi="Arial"/>
          <w:sz w:val="24"/>
          <w:szCs w:val="24"/>
        </w:rPr>
        <w:t xml:space="preserve">4) переводить виртуальные активы на адреса онлайн-казино;</w:t>
      </w:r>
    </w:p>
    <w:p>
      <w:pPr>
        <w:spacing w:after="120"/>
        <w:ind w:firstLine="567"/>
        <w:jc w:val="both"/>
      </w:pPr>
      <w:r>
        <w:rPr>
          <w:rFonts w:ascii="Arial" w:cs="Arial" w:eastAsia="Arial" w:hAnsi="Arial"/>
          <w:sz w:val="24"/>
          <w:szCs w:val="24"/>
        </w:rPr>
        <w:t xml:space="preserve">5) переводить виртуальные активы на децентрализованные системы (DeFi, DEX), если обладатели/держатели кошельков на таких системах/платформах не были идентифицированы надлежащим образом.</w:t>
      </w:r>
    </w:p>
    <w:p>
      <w:pPr>
        <w:spacing w:after="120"/>
        <w:ind w:firstLine="56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операторам торгов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567"/>
        <w:jc w:val="both"/>
      </w:pPr>
      <w:r>
        <w:rPr>
          <w:rFonts w:ascii="Arial" w:cs="Arial" w:eastAsia="Arial" w:hAnsi="Arial"/>
          <w:sz w:val="24"/>
          <w:szCs w:val="24"/>
        </w:rPr>
        <w:t xml:space="preserve">39-2. Операторам торгов виртуальных активов разрешается использовать крипто-банкоматы (автоматизированные системы обмена фиатных средств и виртуальных активов) в своей деятельности.</w:t>
      </w:r>
    </w:p>
    <w:p>
      <w:pPr>
        <w:spacing w:after="120"/>
        <w:ind w:firstLine="567"/>
        <w:jc w:val="both"/>
      </w:pPr>
      <w:r>
        <w:rPr>
          <w:rFonts w:ascii="Arial" w:cs="Arial" w:eastAsia="Arial" w:hAnsi="Arial"/>
          <w:sz w:val="24"/>
          <w:szCs w:val="24"/>
        </w:rPr>
        <w:t xml:space="preserve">Крипто-банкоматами могут пользоваться только идентифицированные пользователи. Идентификация пользователей осуществляется в соответствии с требованиями законодательства в сфере противодействия финансированию террористической деятельности и легализации (отмыванию) преступных доходов и в сфере оборота виртуальных активов, а также внутренними процедурами оператора торгов виртуальных активов.</w:t>
      </w:r>
    </w:p>
    <w:p>
      <w:pPr>
        <w:spacing w:after="120"/>
        <w:ind w:firstLine="567"/>
        <w:jc w:val="both"/>
      </w:pPr>
      <w:r>
        <w:rPr>
          <w:rFonts w:ascii="Arial" w:cs="Arial" w:eastAsia="Arial" w:hAnsi="Arial"/>
          <w:sz w:val="24"/>
          <w:szCs w:val="24"/>
        </w:rPr>
        <w:t xml:space="preserve">Оператор торгов виртуальных активов обязан обеспечивать защиту и конфиденциальность данных, полученных в процессе идентификации пользователей, в соответствии с требованиями законодательства о защите персональных данных.</w:t>
      </w:r>
    </w:p>
    <w:p>
      <w:pPr>
        <w:spacing w:after="120"/>
        <w:ind w:firstLine="567"/>
        <w:jc w:val="both"/>
      </w:pPr>
      <w:r>
        <w:rPr>
          <w:rFonts w:ascii="Arial" w:cs="Arial" w:eastAsia="Arial" w:hAnsi="Arial"/>
          <w:sz w:val="24"/>
          <w:szCs w:val="24"/>
        </w:rPr>
        <w:t xml:space="preserve">Операторы торгов виртуальных активов обязаны предусмотреть меры технической и организационной защиты, предотвращающие возможность несанкционированного доступа к крипто-банкоматам и их использование неопознанными лицами.</w:t>
      </w:r>
    </w:p>
    <w:p>
      <w:pPr>
        <w:spacing w:after="120"/>
        <w:ind w:firstLine="567"/>
        <w:jc w:val="both"/>
      </w:pPr>
      <w:r>
        <w:rPr>
          <w:rFonts w:ascii="Arial" w:cs="Arial" w:eastAsia="Arial" w:hAnsi="Arial"/>
          <w:sz w:val="24"/>
          <w:szCs w:val="24"/>
        </w:rPr>
        <w:t xml:space="preserve">39-3. В случае если законодательство иностранных государств допускает применение виртуальных активов в качестве платежных средств и (или) иных средств для оплаты товаров, работ и (или) услуг, то операторам торгов виртуальных активов, зарегистрированным в Кыргызской Республике, предоставляется право оказания услуг по приему, проведению и (или) расчету виртуальными активами за товары, работы и (или) услуги, не являющиеся результатом их деятельности, в пользу третьих лиц посредством специализированной платформы.";</w:t>
      </w:r>
    </w:p>
    <w:p>
      <w:pPr>
        <w:spacing w:after="120"/>
        <w:ind w:firstLine="567"/>
        <w:jc w:val="both"/>
      </w:pPr>
      <w:r>
        <w:rPr>
          <w:rFonts w:ascii="Arial" w:cs="Arial" w:eastAsia="Arial" w:hAnsi="Arial"/>
          <w:sz w:val="24"/>
          <w:szCs w:val="24"/>
        </w:rPr>
        <w:t xml:space="preserve">- в пункте 48 слова "100000000 (сто миллионов) сомов" заменить словами "2000000 (два миллиона) расчетных показателей";</w:t>
      </w:r>
    </w:p>
    <w:p>
      <w:pPr>
        <w:spacing w:after="120"/>
        <w:ind w:firstLine="567"/>
        <w:jc w:val="both"/>
      </w:pPr>
      <w:r>
        <w:rPr>
          <w:rFonts w:ascii="Arial" w:cs="Arial" w:eastAsia="Arial" w:hAnsi="Arial"/>
          <w:sz w:val="24"/>
          <w:szCs w:val="24"/>
        </w:rPr>
        <w:t xml:space="preserve">- пункт 51 изложить в следующей редакции:</w:t>
      </w:r>
    </w:p>
    <w:p>
      <w:pPr>
        <w:spacing w:after="120"/>
        <w:ind w:firstLine="567"/>
        <w:jc w:val="both"/>
      </w:pPr>
      <w:r>
        <w:rPr>
          <w:rFonts w:ascii="Arial" w:cs="Arial" w:eastAsia="Arial" w:hAnsi="Arial"/>
          <w:sz w:val="24"/>
          <w:szCs w:val="24"/>
        </w:rPr>
        <w:t xml:space="preserve">"51. Для получения лицензии на ведение деятельности в качестве поставщика услуг виртуальных активов, осуществляемой оператором торгов виртуальных активов (криптобиржей), юридическое лицо представляет в уполномоченный орган следующие документы/сведения в одном экземпляре на государственном или официальном языках:</w:t>
      </w:r>
    </w:p>
    <w:p>
      <w:pPr>
        <w:spacing w:after="120"/>
        <w:ind w:firstLine="567"/>
        <w:jc w:val="both"/>
      </w:pPr>
      <w:r>
        <w:rPr>
          <w:rFonts w:ascii="Arial" w:cs="Arial" w:eastAsia="Arial" w:hAnsi="Arial"/>
          <w:sz w:val="24"/>
          <w:szCs w:val="24"/>
        </w:rPr>
        <w:t xml:space="preserve">1) заявление о выдаче лицензии, составленное по форме согласно приложению 1 к настоящему Положению, с печатью и подписью руководителя юридического лица;</w:t>
      </w:r>
    </w:p>
    <w:p>
      <w:pPr>
        <w:spacing w:after="120"/>
        <w:ind w:firstLine="56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567"/>
        <w:jc w:val="both"/>
      </w:pPr>
      <w:r>
        <w:rPr>
          <w:rFonts w:ascii="Arial" w:cs="Arial" w:eastAsia="Arial" w:hAnsi="Arial"/>
          <w:sz w:val="24"/>
          <w:szCs w:val="24"/>
        </w:rPr>
        <w:t xml:space="preserve">3) документы/сведения по 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 в капитале юридического лица, содержащая идентификационные данные таких лиц, количество и процент акций в капитале, которыми обладает каждый такой акционер;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56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налоговым законодательством Кыргызской Республики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 профессионального опыта, включая, в частности, названия всех организаций, в которых он/она работал, характер и продолжительность занимаемых должностей, деловой репутации);</w:t>
      </w:r>
    </w:p>
    <w:p>
      <w:pPr>
        <w:spacing w:after="120"/>
        <w:ind w:firstLine="567"/>
        <w:jc w:val="both"/>
      </w:pPr>
      <w:r>
        <w:rPr>
          <w:rFonts w:ascii="Arial" w:cs="Arial" w:eastAsia="Arial" w:hAnsi="Arial"/>
          <w:sz w:val="24"/>
          <w:szCs w:val="24"/>
        </w:rPr>
        <w:t xml:space="preserve">5) заполненные и подписанные акционерами/учредителями, должностными лицами и бенефициарными владельцами юридического лица анкеты по форме согласно приложениям </w:t>
      </w:r>
      <w:r>
        <w:rPr>
          <w:rFonts w:ascii="Arial" w:cs="Arial" w:eastAsia="Arial" w:hAnsi="Arial"/>
          <w:sz w:val="24"/>
          <w:szCs w:val="24"/>
        </w:rPr>
        <w:t xml:space="preserve">2 </w:t>
      </w:r>
      <w:r>
        <w:rPr>
          <w:rFonts w:ascii="Arial" w:cs="Arial" w:eastAsia="Arial" w:hAnsi="Arial"/>
          <w:sz w:val="24"/>
          <w:szCs w:val="24"/>
        </w:rPr>
        <w:t xml:space="preserve">и </w:t>
      </w:r>
      <w:r>
        <w:rPr>
          <w:rFonts w:ascii="Arial" w:cs="Arial" w:eastAsia="Arial" w:hAnsi="Arial"/>
          <w:sz w:val="24"/>
          <w:szCs w:val="24"/>
        </w:rPr>
        <w:t xml:space="preserve">3 </w:t>
      </w:r>
      <w:r>
        <w:rPr>
          <w:rFonts w:ascii="Arial" w:cs="Arial" w:eastAsia="Arial" w:hAnsi="Arial"/>
          <w:sz w:val="24"/>
          <w:szCs w:val="24"/>
        </w:rPr>
        <w:t xml:space="preserve">к настоящему Положению либо сканированные копии заполненных анкет с последующим предоставлением оригинала;</w:t>
      </w:r>
    </w:p>
    <w:p>
      <w:pPr>
        <w:spacing w:after="120"/>
        <w:ind w:firstLine="56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взаимных расчетов участников оператора торгов виртуальных активов (криптобиржи) при заключении сделок;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листинга виртуальных активов, включающие процедуры листинга иностранных виртуальных активов, выпущенных и обращающихся у иностранных операторов торгов виртуальных активов (криптобирж);</w:t>
      </w:r>
    </w:p>
    <w:p>
      <w:pPr>
        <w:spacing w:after="120"/>
        <w:ind w:firstLine="567"/>
        <w:jc w:val="both"/>
      </w:pPr>
      <w:r>
        <w:rPr>
          <w:rFonts w:ascii="Arial" w:cs="Arial" w:eastAsia="Arial" w:hAnsi="Arial"/>
          <w:sz w:val="24"/>
          <w:szCs w:val="24"/>
        </w:rPr>
        <w:t xml:space="preserve">7) документы/сведения, связанные с финансовыми вопросами юридического лица (программа/план операционных действий; бизнес-план (технико-экономическое обоснование), содержащий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 политика и план обеспечения непрерывности деятельности; копия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 документ, подтверждающий внесение денежных средств в качестве уставного капитала, согласно настоящему Положению; финансовая отчетность на последнюю отчетную дату, переданная в налоговые органы, заверенные печатью и подписью руководителя юридического лица);</w:t>
      </w:r>
    </w:p>
    <w:p>
      <w:pPr>
        <w:spacing w:after="120"/>
        <w:ind w:firstLine="567"/>
        <w:jc w:val="both"/>
      </w:pPr>
      <w:r>
        <w:rPr>
          <w:rFonts w:ascii="Arial" w:cs="Arial" w:eastAsia="Arial" w:hAnsi="Arial"/>
          <w:sz w:val="24"/>
          <w:szCs w:val="24"/>
        </w:rPr>
        <w:t xml:space="preserve">8)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567"/>
        <w:jc w:val="both"/>
      </w:pPr>
      <w:r>
        <w:rPr>
          <w:rFonts w:ascii="Arial" w:cs="Arial" w:eastAsia="Arial" w:hAnsi="Arial"/>
          <w:sz w:val="24"/>
          <w:szCs w:val="24"/>
        </w:rPr>
        <w:t xml:space="preserve">9) документы/сведения по системе противодействия финансированию террористической деятельности и легализации (отмыванию) преступных доходов юридического лица (руководство по противодействию финансированию террористической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террористической деятельности и легализации (отмыванию) преступных доходов; процедуры мониторинга клиентов и транзакций в рамках противодействия финансированию террористической деятельности и легализации (отмыванию) преступных доходов; руководство по обучению в области противодействия финансированию террористической деятельности и легализации (отмыванию); соглашения с поставщиками услуг в области противодействия финансированию террористической деятельности и легализации (отмыванию) преступных доходов; матрица рисков финансирования террористической деятельности и легализации (отмыванию) преступных доходов; функциональные возможности инструментов для оценки рисков, связанных с финансированием террористической деятельности и легализацией (отмыванием) преступных доходов; сценарии противодействия финансированию террористической деятельности и легализации (отмыванию) преступных доходов, реализованные в инструментах; объем предупреждений о противодействии финансированию террористической деятельности и легализации (отмыванию) преступных доходов и количество клиентов, классифицированных по уровню рисков);</w:t>
      </w:r>
    </w:p>
    <w:p>
      <w:pPr>
        <w:spacing w:after="120"/>
        <w:ind w:firstLine="567"/>
        <w:jc w:val="both"/>
      </w:pPr>
      <w:r>
        <w:rPr>
          <w:rFonts w:ascii="Arial" w:cs="Arial" w:eastAsia="Arial" w:hAnsi="Arial"/>
          <w:sz w:val="24"/>
          <w:szCs w:val="24"/>
        </w:rPr>
        <w:t xml:space="preserve">10)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567"/>
        <w:jc w:val="both"/>
      </w:pPr>
      <w:r>
        <w:rPr>
          <w:rFonts w:ascii="Arial" w:cs="Arial" w:eastAsia="Arial" w:hAnsi="Arial"/>
          <w:sz w:val="24"/>
          <w:szCs w:val="24"/>
        </w:rPr>
        <w:t xml:space="preserve">11) сведения/документы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567"/>
        <w:jc w:val="both"/>
      </w:pPr>
      <w:r>
        <w:rPr>
          <w:rFonts w:ascii="Arial" w:cs="Arial" w:eastAsia="Arial" w:hAnsi="Arial"/>
          <w:sz w:val="24"/>
          <w:szCs w:val="24"/>
        </w:rPr>
        <w:t xml:space="preserve">12)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если от имени юридического лица действует представитель по доверенности;</w:t>
      </w:r>
    </w:p>
    <w:p>
      <w:pPr>
        <w:spacing w:after="120"/>
        <w:ind w:firstLine="567"/>
        <w:jc w:val="both"/>
      </w:pPr>
      <w:r>
        <w:rPr>
          <w:rFonts w:ascii="Arial" w:cs="Arial" w:eastAsia="Arial" w:hAnsi="Arial"/>
          <w:sz w:val="24"/>
          <w:szCs w:val="24"/>
        </w:rPr>
        <w:t xml:space="preserve">13) данные о деловой репутации юридического лица;</w:t>
      </w:r>
    </w:p>
    <w:p>
      <w:pPr>
        <w:spacing w:after="120"/>
        <w:ind w:firstLine="567"/>
        <w:jc w:val="both"/>
      </w:pPr>
      <w:r>
        <w:rPr>
          <w:rFonts w:ascii="Arial" w:cs="Arial" w:eastAsia="Arial" w:hAnsi="Arial"/>
          <w:sz w:val="24"/>
          <w:szCs w:val="24"/>
        </w:rPr>
        <w:t xml:space="preserve">14) документ, подтверждающий оплату государственной пошлины за лицензию.";</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16</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 абзац первый пункта 90 после слова "ежеквартально" дополнить словами "не позднее 10 рабочих дней после даты окончания отчетного квартала";</w:t>
      </w:r>
    </w:p>
    <w:p>
      <w:pPr>
        <w:spacing w:after="120"/>
        <w:ind w:firstLine="567"/>
        <w:jc w:val="both"/>
      </w:pPr>
      <w:r>
        <w:rPr>
          <w:rFonts w:ascii="Arial" w:cs="Arial" w:eastAsia="Arial" w:hAnsi="Arial"/>
          <w:sz w:val="24"/>
          <w:szCs w:val="24"/>
        </w:rPr>
        <w:t xml:space="preserve">- дополнить пунктом 90-1 следующего содержания:</w:t>
      </w:r>
    </w:p>
    <w:p>
      <w:pPr>
        <w:spacing w:after="120"/>
        <w:ind w:firstLine="567"/>
        <w:jc w:val="both"/>
      </w:pPr>
      <w:r>
        <w:rPr>
          <w:rFonts w:ascii="Arial" w:cs="Arial" w:eastAsia="Arial" w:hAnsi="Arial"/>
          <w:sz w:val="24"/>
          <w:szCs w:val="24"/>
        </w:rPr>
        <w:t xml:space="preserve">"90-1. Деятельность оператора торгов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567"/>
        <w:jc w:val="both"/>
      </w:pPr>
      <w:r>
        <w:rPr>
          <w:rFonts w:ascii="Arial" w:cs="Arial" w:eastAsia="Arial" w:hAnsi="Arial"/>
          <w:sz w:val="24"/>
          <w:szCs w:val="24"/>
        </w:rPr>
        <w:t xml:space="preserve">Внешним аудитором оператора торгов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567"/>
        <w:jc w:val="both"/>
      </w:pPr>
      <w:r>
        <w:rPr>
          <w:rFonts w:ascii="Arial" w:cs="Arial" w:eastAsia="Arial" w:hAnsi="Arial"/>
          <w:sz w:val="24"/>
          <w:szCs w:val="24"/>
        </w:rPr>
        <w:t xml:space="preserve">По завершении финансового года оператор торгов виртуальных активов обязан:</w:t>
      </w:r>
    </w:p>
    <w:p>
      <w:pPr>
        <w:spacing w:after="120"/>
        <w:ind w:firstLine="567"/>
        <w:jc w:val="both"/>
      </w:pPr>
      <w:r>
        <w:rPr>
          <w:rFonts w:ascii="Arial" w:cs="Arial" w:eastAsia="Arial" w:hAnsi="Arial"/>
          <w:sz w:val="24"/>
          <w:szCs w:val="24"/>
        </w:rPr>
        <w:t xml:space="preserve">- обеспечить проведение внешнего аудита оператора торгов виртуальных активов в срок до 90 (девяносто) дней с начала нового финансового года;</w:t>
      </w:r>
    </w:p>
    <w:p>
      <w:pPr>
        <w:spacing w:after="120"/>
        <w:ind w:firstLine="56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торгов виртуальных активов в срок не позднее 15 (пятнадцать) дней с начала нового финансового года.";</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приложения 2</w:t>
      </w:r>
      <w:r>
        <w:rPr>
          <w:rFonts w:ascii="Arial" w:cs="Arial" w:eastAsia="Arial" w:hAnsi="Arial"/>
          <w:sz w:val="24"/>
          <w:szCs w:val="24"/>
        </w:rPr>
        <w:t xml:space="preserve"> к вышеуказанному Положению изложить в следующей редакции: "Анкета акционера/учредителя, бенефициарного владельца и должностного лица оператора торгов виртуальных активов (криптобиржи)";</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приложения 3</w:t>
      </w:r>
      <w:r>
        <w:rPr>
          <w:rFonts w:ascii="Arial" w:cs="Arial" w:eastAsia="Arial" w:hAnsi="Arial"/>
          <w:sz w:val="24"/>
          <w:szCs w:val="24"/>
        </w:rPr>
        <w:t xml:space="preserve"> к вышеуказанному Положению изложить в следующей редакции: "Анкета акционера/учредителя, бенефициарного владельца оператора торгов виртуальных активов (криптобиржи)";</w:t>
      </w:r>
    </w:p>
    <w:p>
      <w:pPr>
        <w:spacing w:after="12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 к вышеуказанному Положению признать утратившими силу;</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Положении</w:t>
      </w:r>
      <w:r>
        <w:rPr>
          <w:rFonts w:ascii="Arial" w:cs="Arial" w:eastAsia="Arial" w:hAnsi="Arial"/>
          <w:sz w:val="24"/>
          <w:szCs w:val="24"/>
        </w:rPr>
        <w:t xml:space="preserve"> об эмиссии (выпуске), обращении виртуальных активов и о порядке ведения Единого государственного реестра эмиссий виртуальных активов, утвержденном вышеуказанным </w:t>
      </w:r>
      <w:hyperlink w:history="1" r:id="rIdy-jsgcwziujmgy6wnwo_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1:</w:t>
      </w:r>
    </w:p>
    <w:p>
      <w:pPr>
        <w:spacing w:after="120"/>
        <w:ind w:firstLine="567"/>
        <w:jc w:val="both"/>
      </w:pPr>
      <w:r>
        <w:rPr>
          <w:rFonts w:ascii="Arial" w:cs="Arial" w:eastAsia="Arial" w:hAnsi="Arial"/>
          <w:sz w:val="24"/>
          <w:szCs w:val="24"/>
        </w:rPr>
        <w:t xml:space="preserve">абзацы третий, девятый признать утратившими силу;</w:t>
      </w:r>
    </w:p>
    <w:p>
      <w:pPr>
        <w:spacing w:after="120"/>
        <w:ind w:firstLine="567"/>
        <w:jc w:val="both"/>
      </w:pPr>
      <w:r>
        <w:rPr>
          <w:rFonts w:ascii="Arial" w:cs="Arial" w:eastAsia="Arial" w:hAnsi="Arial"/>
          <w:sz w:val="24"/>
          <w:szCs w:val="24"/>
        </w:rPr>
        <w:t xml:space="preserve">абзацы четвертый, пятый изложить в следующей редакции:</w:t>
      </w:r>
    </w:p>
    <w:p>
      <w:pPr>
        <w:spacing w:after="120"/>
        <w:ind w:firstLine="567"/>
        <w:jc w:val="both"/>
      </w:pPr>
      <w:r>
        <w:rPr>
          <w:rFonts w:ascii="Arial" w:cs="Arial" w:eastAsia="Arial" w:hAnsi="Arial"/>
          <w:sz w:val="24"/>
          <w:szCs w:val="24"/>
        </w:rPr>
        <w:t xml:space="preserve">"государственная регистрация эмиссии и публичного размещения виртуальных активов - присвоение выпуску виртуальных активов государственного регистрационного номера, сопровождающееся государственной регистрацией белой бумаги (white paper) выпуска виртуальных активов, а также внесение сведений об этом, в том числе о виртуальных активах, их эмитенте, в Единый государственный реестр эмиссий виртуальных активов;</w:t>
      </w:r>
    </w:p>
    <w:p>
      <w:pPr>
        <w:spacing w:after="120"/>
        <w:ind w:firstLine="567"/>
        <w:jc w:val="both"/>
      </w:pPr>
      <w:r>
        <w:rPr>
          <w:rFonts w:ascii="Arial" w:cs="Arial" w:eastAsia="Arial" w:hAnsi="Arial"/>
          <w:sz w:val="24"/>
          <w:szCs w:val="24"/>
        </w:rPr>
        <w:t xml:space="preserve">номинальная стоимость виртуального актива - стоимость (цена) виртуального актива выраженная в национальной или иностранной валюте по решению эмитента виртуальных активов, по которой виртуальный актив заявлен к размещению;";</w:t>
      </w:r>
    </w:p>
    <w:p>
      <w:pPr>
        <w:spacing w:after="120"/>
        <w:ind w:firstLine="567"/>
        <w:jc w:val="both"/>
      </w:pPr>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"залоговая стоимость - стоимость актива, используемого в качестве залога.";</w:t>
      </w:r>
    </w:p>
    <w:p>
      <w:pPr>
        <w:spacing w:after="120"/>
        <w:ind w:firstLine="567"/>
        <w:jc w:val="both"/>
      </w:pPr>
      <w:r>
        <w:rPr>
          <w:rFonts w:ascii="Arial" w:cs="Arial" w:eastAsia="Arial" w:hAnsi="Arial"/>
          <w:sz w:val="24"/>
          <w:szCs w:val="24"/>
        </w:rPr>
        <w:t xml:space="preserve">- пункт 2 изложить в следующей редакции:</w:t>
      </w:r>
    </w:p>
    <w:p>
      <w:pPr>
        <w:spacing w:after="120"/>
        <w:ind w:firstLine="567"/>
        <w:jc w:val="both"/>
      </w:pPr>
      <w:r>
        <w:rPr>
          <w:rFonts w:ascii="Arial" w:cs="Arial" w:eastAsia="Arial" w:hAnsi="Arial"/>
          <w:sz w:val="24"/>
          <w:szCs w:val="24"/>
        </w:rPr>
        <w:t xml:space="preserve">"2. Государственная регистрация эмиссии и публичного размещения виртуальных активов, а также ведение Единого государственного реестра эмиссий виртуальных активов осуществляются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1</w:t>
      </w:r>
      <w:r>
        <w:rPr>
          <w:rFonts w:ascii="Arial" w:cs="Arial" w:eastAsia="Arial" w:hAnsi="Arial"/>
          <w:sz w:val="24"/>
          <w:szCs w:val="24"/>
        </w:rPr>
        <w:t xml:space="preserve"> дополнить пунктами 3-1 - 3-11 следующего содержания:</w:t>
      </w:r>
    </w:p>
    <w:p>
      <w:pPr>
        <w:spacing w:after="120"/>
        <w:ind w:firstLine="567"/>
        <w:jc w:val="both"/>
      </w:pPr>
      <w:r>
        <w:rPr>
          <w:rFonts w:ascii="Arial" w:cs="Arial" w:eastAsia="Arial" w:hAnsi="Arial"/>
          <w:sz w:val="24"/>
          <w:szCs w:val="24"/>
        </w:rPr>
        <w:t xml:space="preserve">"3-1. На территории Кыргызской Республики запрещается выпуск не обеспеченных виртуальных активов.</w:t>
      </w:r>
    </w:p>
    <w:p>
      <w:pPr>
        <w:spacing w:after="120"/>
        <w:ind w:firstLine="567"/>
        <w:jc w:val="both"/>
      </w:pPr>
      <w:r>
        <w:rPr>
          <w:rFonts w:ascii="Arial" w:cs="Arial" w:eastAsia="Arial" w:hAnsi="Arial"/>
          <w:sz w:val="24"/>
          <w:szCs w:val="24"/>
        </w:rPr>
        <w:t xml:space="preserve">3-2. При выпуске виртуальных активов их эмитент обязан назначить управляющего залогом в интересах лиц, зарегистрированных в качестве владельцев в реестре держателей виртуальных активов, который ведется оператором торгов виртуальных активов (криптобиржей). Управляющим залогом по виртуальным активам вправе выступать только лицо, соответствующее требованиям законодательства и имеющее лицензию на право осуществления деятельности оператора торгов виртуальных активов (криптобиржи) или банка. Управляющий залогом не может быть аффилированным лицом по отношению к эмитенту виртуальных активов и по отношению к любому кредитору эмитента, размер обязательств эмитента перед которым превышает 10 процентов от балансовой стоимости его активов.</w:t>
      </w:r>
    </w:p>
    <w:p>
      <w:pPr>
        <w:spacing w:after="120"/>
        <w:ind w:firstLine="567"/>
        <w:jc w:val="both"/>
      </w:pPr>
      <w:r>
        <w:rPr>
          <w:rFonts w:ascii="Arial" w:cs="Arial" w:eastAsia="Arial" w:hAnsi="Arial"/>
          <w:sz w:val="24"/>
          <w:szCs w:val="24"/>
        </w:rPr>
        <w:t xml:space="preserve">3-3. В случае, если обеспечение и/или залог по виртуальным активам предоставлены третьим лицом, решение о выпуске и размещении виртуальных активов и белая бумага (white paper) должны быть подписаны также лицом, предоставившим такое обеспечение и/или залог, а между управляющим залогом и лицом (лицами), предоставившими такое обеспечение, должны быть заключены и зарегистрированы договоры залога в пользу владельцев виртуальных активов, а также соглашение о внесудебном порядке обращения взыскания на предмет залога.</w:t>
      </w:r>
    </w:p>
    <w:p>
      <w:pPr>
        <w:spacing w:after="120"/>
        <w:ind w:firstLine="567"/>
        <w:jc w:val="both"/>
      </w:pPr>
      <w:r>
        <w:rPr>
          <w:rFonts w:ascii="Arial" w:cs="Arial" w:eastAsia="Arial" w:hAnsi="Arial"/>
          <w:sz w:val="24"/>
          <w:szCs w:val="24"/>
        </w:rPr>
        <w:t xml:space="preserve">3-4. Предметом залога виртуальных активов могут быть активы эмитента виртуальных активов, указанные в пункте 3-5 настоящего Положения.</w:t>
      </w:r>
    </w:p>
    <w:p>
      <w:pPr>
        <w:spacing w:after="120"/>
        <w:ind w:firstLine="567"/>
        <w:jc w:val="both"/>
      </w:pPr>
      <w:r>
        <w:rPr>
          <w:rFonts w:ascii="Arial" w:cs="Arial" w:eastAsia="Arial" w:hAnsi="Arial"/>
          <w:sz w:val="24"/>
          <w:szCs w:val="24"/>
        </w:rPr>
        <w:t xml:space="preserve">3-5. Структура и состав предмета залога по виртуальным активам:</w:t>
      </w:r>
    </w:p>
    <w:p>
      <w:pPr>
        <w:spacing w:after="120"/>
        <w:ind w:firstLine="567"/>
        <w:jc w:val="both"/>
      </w:pPr>
      <w:r>
        <w:rPr>
          <w:rFonts w:ascii="Arial" w:cs="Arial" w:eastAsia="Arial" w:hAnsi="Arial"/>
          <w:sz w:val="24"/>
          <w:szCs w:val="24"/>
        </w:rPr>
        <w:t xml:space="preserve">1) виртуальные активы могут быть обеспечены залогом государственных ценных бумаг - до 100 процентов от объема эмиссии виртуальных активов, сопровождающегося залогом данных ценных бумаг;</w:t>
      </w:r>
    </w:p>
    <w:p>
      <w:pPr>
        <w:spacing w:after="120"/>
        <w:ind w:firstLine="567"/>
        <w:jc w:val="both"/>
      </w:pPr>
      <w:r>
        <w:rPr>
          <w:rFonts w:ascii="Arial" w:cs="Arial" w:eastAsia="Arial" w:hAnsi="Arial"/>
          <w:sz w:val="24"/>
          <w:szCs w:val="24"/>
        </w:rPr>
        <w:t xml:space="preserve">2) виртуальные активы могут быть обеспечены залогом простых именных акций эмитентов Кыргызской Республики, созданных в форме открытых акционерных обществ, прошедших листинг у лицензированного организатора торгов по наивысшей и следующей за наивысшей категориям - не более 40 процентов от объема эмиссии виртуальных активов. При этом залоговая цена таких акций должна быть не более 80 процентов от оценочной стоимости согласно независимой оценочной экспертизе;</w:t>
      </w:r>
    </w:p>
    <w:p>
      <w:pPr>
        <w:spacing w:after="120"/>
        <w:ind w:firstLine="567"/>
        <w:jc w:val="both"/>
      </w:pPr>
      <w:r>
        <w:rPr>
          <w:rFonts w:ascii="Arial" w:cs="Arial" w:eastAsia="Arial" w:hAnsi="Arial"/>
          <w:sz w:val="24"/>
          <w:szCs w:val="24"/>
        </w:rPr>
        <w:t xml:space="preserve">3) виртуальные активы могут быть обеспечены залогом права на разработку и использование месторождений полезных ископаемых и иных природных ресурсов, недвижимого имущества, принадлежащим юридическим лицам, при этом залоговая стоимость такого имущества не должна быть более 70 процентов от ее оценочной стоимости согласно независимой оценочной экспертизе;</w:t>
      </w:r>
    </w:p>
    <w:p>
      <w:pPr>
        <w:spacing w:after="120"/>
        <w:ind w:firstLine="567"/>
        <w:jc w:val="both"/>
      </w:pPr>
      <w:r>
        <w:rPr>
          <w:rFonts w:ascii="Arial" w:cs="Arial" w:eastAsia="Arial" w:hAnsi="Arial"/>
          <w:sz w:val="24"/>
          <w:szCs w:val="24"/>
        </w:rPr>
        <w:t xml:space="preserve">4) виртуальные активы могут быть обеспечены залогом в виде золота, денежных средств в национальной и иностранной валютах, при этом залоговая стоимость принимается в размере 100 процентов от оценочной стоимости золота согласно независимой оценочной экспертизе.</w:t>
      </w:r>
    </w:p>
    <w:p>
      <w:pPr>
        <w:spacing w:after="120"/>
        <w:ind w:firstLine="567"/>
        <w:jc w:val="both"/>
      </w:pPr>
      <w:r>
        <w:rPr>
          <w:rFonts w:ascii="Arial" w:cs="Arial" w:eastAsia="Arial" w:hAnsi="Arial"/>
          <w:sz w:val="24"/>
          <w:szCs w:val="24"/>
        </w:rPr>
        <w:t xml:space="preserve">3-6. Имущество, являющееся предметом обеспечения и/или залога по виртуальным активам, подлежит оценке независимым оценщиком не позднее чем за один месяц до подачи документов в уполномоченный государственный орган для регистрации эмиссии и публичного размещения виртуальных активов. Оценка залоговой стоимости считается актуальной в течение шести месяцев.</w:t>
      </w:r>
    </w:p>
    <w:p>
      <w:pPr>
        <w:spacing w:after="120"/>
        <w:ind w:firstLine="567"/>
        <w:jc w:val="both"/>
      </w:pPr>
      <w:r>
        <w:rPr>
          <w:rFonts w:ascii="Arial" w:cs="Arial" w:eastAsia="Arial" w:hAnsi="Arial"/>
          <w:sz w:val="24"/>
          <w:szCs w:val="24"/>
        </w:rPr>
        <w:t xml:space="preserve">3-7. Решение о выпуске и размещении виртуальных активов в случае, если предметом залога выступает недвижимое имущество, подлежит регистрации в уполномоченном государственном органе по регистрации прав на недвижимое имущество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567"/>
        <w:jc w:val="both"/>
      </w:pPr>
      <w:r>
        <w:rPr>
          <w:rFonts w:ascii="Arial" w:cs="Arial" w:eastAsia="Arial" w:hAnsi="Arial"/>
          <w:sz w:val="24"/>
          <w:szCs w:val="24"/>
        </w:rPr>
        <w:t xml:space="preserve">3-8. Решение о выпуске и размещении виртуальных активов в случае, если предметом залога выступают ценные бумаги, подлежит регистрации соответствующим независимым реестродержателем либо депозитарием, где ценные бумаги, являющиеся предметом залога, депонированы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567"/>
        <w:jc w:val="both"/>
      </w:pPr>
      <w:r>
        <w:rPr>
          <w:rFonts w:ascii="Arial" w:cs="Arial" w:eastAsia="Arial" w:hAnsi="Arial"/>
          <w:sz w:val="24"/>
          <w:szCs w:val="24"/>
        </w:rPr>
        <w:t xml:space="preserve">3-9. Решение о выпуске и размещении виртуальных активов в случае, если предметом залога выступают золото, денежные средства и право на разработку месторождения, подлежит регистрации оператором торгов виртуальных активов (криптобиржей) или банком, где данное имущество, являющееся предметом залога, депонировано до представления документов в уполномоченный государственный орган для регистрации эмиссии и публичного размещения виртуальных активов.</w:t>
      </w:r>
    </w:p>
    <w:p>
      <w:pPr>
        <w:spacing w:after="120"/>
        <w:ind w:firstLine="567"/>
        <w:jc w:val="both"/>
      </w:pPr>
      <w:r>
        <w:rPr>
          <w:rFonts w:ascii="Arial" w:cs="Arial" w:eastAsia="Arial" w:hAnsi="Arial"/>
          <w:sz w:val="24"/>
          <w:szCs w:val="24"/>
        </w:rPr>
        <w:t xml:space="preserve">3-10. Государственная регистрация эмиссии и публичного размещения виртуальных активов до регистрации залогового обеспечения по ним запрещается.</w:t>
      </w:r>
    </w:p>
    <w:p>
      <w:pPr>
        <w:spacing w:after="120"/>
        <w:ind w:firstLine="567"/>
        <w:jc w:val="both"/>
      </w:pPr>
      <w:r>
        <w:rPr>
          <w:rFonts w:ascii="Arial" w:cs="Arial" w:eastAsia="Arial" w:hAnsi="Arial"/>
          <w:sz w:val="24"/>
          <w:szCs w:val="24"/>
        </w:rPr>
        <w:t xml:space="preserve">3-11. В случае неисполнения или ненадлежащего исполнения обязательств эмитентом виртуальных активов перед их владельцами последние имеют право письменно обратиться к управляющему залогом, который обязан не позднее 5 (пять) рабочих дней предпринять следующие действия:</w:t>
      </w:r>
    </w:p>
    <w:p>
      <w:pPr>
        <w:spacing w:after="120"/>
        <w:ind w:firstLine="567"/>
        <w:jc w:val="both"/>
      </w:pPr>
      <w:r>
        <w:rPr>
          <w:rFonts w:ascii="Arial" w:cs="Arial" w:eastAsia="Arial" w:hAnsi="Arial"/>
          <w:sz w:val="24"/>
          <w:szCs w:val="24"/>
        </w:rPr>
        <w:t xml:space="preserve">- обратиться с письменным требованием к эмитенту виртуальных активов о разъяснении текущей ситуации по исполнению эмитентом обязательств и в случае, если исполнение таких обязательств имеет просрочку, в письменном виде заявить эмитенту требование по устранению такой просрочки в срок не позднее 10 (десять) рабочих дней;</w:t>
      </w:r>
    </w:p>
    <w:p>
      <w:pPr>
        <w:spacing w:after="120"/>
        <w:ind w:firstLine="567"/>
        <w:jc w:val="both"/>
      </w:pPr>
      <w:r>
        <w:rPr>
          <w:rFonts w:ascii="Arial" w:cs="Arial" w:eastAsia="Arial" w:hAnsi="Arial"/>
          <w:sz w:val="24"/>
          <w:szCs w:val="24"/>
        </w:rPr>
        <w:t xml:space="preserve">- начать предусмотренные законодательством Кыргызской Республики действия по обращению взыскания на предмет залога, если управляющий залогом в течение 3 (три) рабочих дней не получил от эмитента ответа на заявленное требование о разъяснении текущей ситуации, либо эмитент, которому заявлено требование о погашении просроченной задолженности по виртуальным активам, в 10-дневный срок их не исполнил.</w:t>
      </w:r>
    </w:p>
    <w:p>
      <w:pPr>
        <w:spacing w:after="120"/>
        <w:ind w:firstLine="567"/>
        <w:jc w:val="both"/>
      </w:pPr>
      <w:r>
        <w:rPr>
          <w:rFonts w:ascii="Arial" w:cs="Arial" w:eastAsia="Arial" w:hAnsi="Arial"/>
          <w:sz w:val="24"/>
          <w:szCs w:val="24"/>
        </w:rPr>
        <w:t xml:space="preserve">Управляющий залогом обязан отслеживать ситуацию по исполнению эмитентом виртуальных активов обязательств перед их владельцами и предпринять действия, указанные в настоящем пункте, в случае отсутствия владельцев виртуальных активов по истечении не более 30 (тридцать) календарных дней с даты, когда имело место полное или частичное неисполнение эмитентом виртуальных активов своих обязательств перед их владельцами.";</w:t>
      </w:r>
    </w:p>
    <w:p>
      <w:pPr>
        <w:spacing w:after="120"/>
        <w:ind w:firstLine="567"/>
        <w:jc w:val="both"/>
      </w:pPr>
      <w:r>
        <w:rPr>
          <w:rFonts w:ascii="Arial" w:cs="Arial" w:eastAsia="Arial" w:hAnsi="Arial"/>
          <w:sz w:val="24"/>
          <w:szCs w:val="24"/>
        </w:rPr>
        <w:t xml:space="preserve">- пункты 4, 5 изложить в следующей редакции:</w:t>
      </w:r>
    </w:p>
    <w:p>
      <w:pPr>
        <w:spacing w:after="120"/>
        <w:ind w:firstLine="567"/>
        <w:jc w:val="both"/>
      </w:pPr>
      <w:r>
        <w:rPr>
          <w:rFonts w:ascii="Arial" w:cs="Arial" w:eastAsia="Arial" w:hAnsi="Arial"/>
          <w:sz w:val="24"/>
          <w:szCs w:val="24"/>
        </w:rPr>
        <w:t xml:space="preserve">"4. Процедура эмиссии и публичного размещения виртуальных активов включает следующие этапы:</w:t>
      </w:r>
    </w:p>
    <w:p>
      <w:pPr>
        <w:spacing w:after="120"/>
        <w:ind w:firstLine="567"/>
        <w:jc w:val="both"/>
      </w:pPr>
      <w:r>
        <w:rPr>
          <w:rFonts w:ascii="Arial" w:cs="Arial" w:eastAsia="Arial" w:hAnsi="Arial"/>
          <w:sz w:val="24"/>
          <w:szCs w:val="24"/>
        </w:rPr>
        <w:t xml:space="preserve">1) принятие эмитентом решения о выпуске и размещении виртуальных активов;</w:t>
      </w:r>
    </w:p>
    <w:p>
      <w:pPr>
        <w:spacing w:after="120"/>
        <w:ind w:firstLine="567"/>
        <w:jc w:val="both"/>
      </w:pPr>
      <w:r>
        <w:rPr>
          <w:rFonts w:ascii="Arial" w:cs="Arial" w:eastAsia="Arial" w:hAnsi="Arial"/>
          <w:sz w:val="24"/>
          <w:szCs w:val="24"/>
        </w:rPr>
        <w:t xml:space="preserve">2) утверждение эмитентом белой бумаги (white paper);</w:t>
      </w:r>
    </w:p>
    <w:p>
      <w:pPr>
        <w:spacing w:after="120"/>
        <w:ind w:firstLine="567"/>
        <w:jc w:val="both"/>
      </w:pPr>
      <w:r>
        <w:rPr>
          <w:rFonts w:ascii="Arial" w:cs="Arial" w:eastAsia="Arial" w:hAnsi="Arial"/>
          <w:sz w:val="24"/>
          <w:szCs w:val="24"/>
        </w:rPr>
        <w:t xml:space="preserve">3) государственная регистрация эмиссии и публичного размещения виртуальных активов в уполномоченном государственном органе;</w:t>
      </w:r>
    </w:p>
    <w:p>
      <w:pPr>
        <w:spacing w:after="120"/>
        <w:ind w:firstLine="567"/>
        <w:jc w:val="both"/>
      </w:pPr>
      <w:r>
        <w:rPr>
          <w:rFonts w:ascii="Arial" w:cs="Arial" w:eastAsia="Arial" w:hAnsi="Arial"/>
          <w:sz w:val="24"/>
          <w:szCs w:val="24"/>
        </w:rPr>
        <w:t xml:space="preserve">4) раскрытие информации о публичном предложении виртуальных активов;</w:t>
      </w:r>
    </w:p>
    <w:p>
      <w:pPr>
        <w:spacing w:after="120"/>
        <w:ind w:firstLine="567"/>
        <w:jc w:val="both"/>
      </w:pPr>
      <w:r>
        <w:rPr>
          <w:rFonts w:ascii="Arial" w:cs="Arial" w:eastAsia="Arial" w:hAnsi="Arial"/>
          <w:sz w:val="24"/>
          <w:szCs w:val="24"/>
        </w:rPr>
        <w:t xml:space="preserve">5) размещение виртуальных активов;</w:t>
      </w:r>
    </w:p>
    <w:p>
      <w:pPr>
        <w:spacing w:after="120"/>
        <w:ind w:firstLine="567"/>
        <w:jc w:val="both"/>
      </w:pPr>
      <w:r>
        <w:rPr>
          <w:rFonts w:ascii="Arial" w:cs="Arial" w:eastAsia="Arial" w:hAnsi="Arial"/>
          <w:sz w:val="24"/>
          <w:szCs w:val="24"/>
        </w:rPr>
        <w:t xml:space="preserve">6) признание итогов выпуска виртуальных активов состоявшимися или несостоявшимися.</w:t>
      </w:r>
    </w:p>
    <w:p>
      <w:pPr>
        <w:spacing w:after="120"/>
        <w:ind w:firstLine="567"/>
        <w:jc w:val="both"/>
      </w:pPr>
      <w:r>
        <w:rPr>
          <w:rFonts w:ascii="Arial" w:cs="Arial" w:eastAsia="Arial" w:hAnsi="Arial"/>
          <w:sz w:val="24"/>
          <w:szCs w:val="24"/>
        </w:rPr>
        <w:t xml:space="preserve">5. Решением о выпуске и размещении виртуальных активов должны быть определены:</w:t>
      </w:r>
    </w:p>
    <w:p>
      <w:pPr>
        <w:spacing w:after="120"/>
        <w:ind w:firstLine="567"/>
        <w:jc w:val="both"/>
      </w:pPr>
      <w:r>
        <w:rPr>
          <w:rFonts w:ascii="Arial" w:cs="Arial" w:eastAsia="Arial" w:hAnsi="Arial"/>
          <w:sz w:val="24"/>
          <w:szCs w:val="24"/>
        </w:rPr>
        <w:t xml:space="preserve">1) количество виртуальных активов;</w:t>
      </w:r>
    </w:p>
    <w:p>
      <w:pPr>
        <w:spacing w:after="120"/>
        <w:ind w:firstLine="567"/>
        <w:jc w:val="both"/>
      </w:pPr>
      <w:r>
        <w:rPr>
          <w:rFonts w:ascii="Arial" w:cs="Arial" w:eastAsia="Arial" w:hAnsi="Arial"/>
          <w:sz w:val="24"/>
          <w:szCs w:val="24"/>
        </w:rPr>
        <w:t xml:space="preserve">2) номинальная стоимость одного виртуального актива;</w:t>
      </w:r>
    </w:p>
    <w:p>
      <w:pPr>
        <w:spacing w:after="120"/>
        <w:ind w:firstLine="567"/>
        <w:jc w:val="both"/>
      </w:pPr>
      <w:r>
        <w:rPr>
          <w:rFonts w:ascii="Arial" w:cs="Arial" w:eastAsia="Arial" w:hAnsi="Arial"/>
          <w:sz w:val="24"/>
          <w:szCs w:val="24"/>
        </w:rPr>
        <w:t xml:space="preserve">3) сроки и условия размещения виртуальных активов, в том числе в период предварительной продажи с дисконтом от номинальной стоимости виртуального актива;</w:t>
      </w:r>
    </w:p>
    <w:p>
      <w:pPr>
        <w:spacing w:after="120"/>
        <w:ind w:firstLine="567"/>
        <w:jc w:val="both"/>
      </w:pPr>
      <w:r>
        <w:rPr>
          <w:rFonts w:ascii="Arial" w:cs="Arial" w:eastAsia="Arial" w:hAnsi="Arial"/>
          <w:sz w:val="24"/>
          <w:szCs w:val="24"/>
        </w:rPr>
        <w:t xml:space="preserve">4) условия обращения виртуального актива;</w:t>
      </w:r>
    </w:p>
    <w:p>
      <w:pPr>
        <w:spacing w:after="120"/>
        <w:ind w:firstLine="567"/>
        <w:jc w:val="both"/>
      </w:pPr>
      <w:r>
        <w:rPr>
          <w:rFonts w:ascii="Arial" w:cs="Arial" w:eastAsia="Arial" w:hAnsi="Arial"/>
          <w:sz w:val="24"/>
          <w:szCs w:val="24"/>
        </w:rPr>
        <w:t xml:space="preserve">5) название блокчейна, адрес кошелька эмитента виртуальных активов и смарт-контракта;</w:t>
      </w:r>
    </w:p>
    <w:p>
      <w:pPr>
        <w:spacing w:after="120"/>
        <w:ind w:firstLine="567"/>
        <w:jc w:val="both"/>
      </w:pPr>
      <w:r>
        <w:rPr>
          <w:rFonts w:ascii="Arial" w:cs="Arial" w:eastAsia="Arial" w:hAnsi="Arial"/>
          <w:sz w:val="24"/>
          <w:szCs w:val="24"/>
        </w:rPr>
        <w:t xml:space="preserve">6) сведения о стоимости имущества, выставляемого в обеспечение и залог выпуска виртуальных активов;</w:t>
      </w:r>
    </w:p>
    <w:p>
      <w:pPr>
        <w:spacing w:after="120"/>
        <w:ind w:firstLine="567"/>
        <w:jc w:val="both"/>
      </w:pPr>
      <w:r>
        <w:rPr>
          <w:rFonts w:ascii="Arial" w:cs="Arial" w:eastAsia="Arial" w:hAnsi="Arial"/>
          <w:sz w:val="24"/>
          <w:szCs w:val="24"/>
        </w:rPr>
        <w:t xml:space="preserve">7) сведения об управляющем залогом;</w:t>
      </w:r>
    </w:p>
    <w:p>
      <w:pPr>
        <w:spacing w:after="120"/>
        <w:ind w:firstLine="567"/>
        <w:jc w:val="both"/>
      </w:pPr>
      <w:r>
        <w:rPr>
          <w:rFonts w:ascii="Arial" w:cs="Arial" w:eastAsia="Arial" w:hAnsi="Arial"/>
          <w:sz w:val="24"/>
          <w:szCs w:val="24"/>
        </w:rPr>
        <w:t xml:space="preserve">8) условия об отказе залогодателя от заложенного имущества в пользу владельцев виртуальных активов.</w:t>
      </w:r>
    </w:p>
    <w:p>
      <w:pPr>
        <w:spacing w:after="120"/>
        <w:ind w:firstLine="567"/>
        <w:jc w:val="both"/>
      </w:pPr>
      <w:r>
        <w:rPr>
          <w:rFonts w:ascii="Arial" w:cs="Arial" w:eastAsia="Arial" w:hAnsi="Arial"/>
          <w:sz w:val="24"/>
          <w:szCs w:val="24"/>
        </w:rPr>
        <w:t xml:space="preserve">Решение о выпуске и размещении виртуальных активов оформляется по форме согласно</w:t>
      </w:r>
      <w:r>
        <w:rPr>
          <w:rFonts w:ascii="Arial" w:cs="Arial" w:eastAsia="Arial" w:hAnsi="Arial"/>
          <w:sz w:val="24"/>
          <w:szCs w:val="24"/>
        </w:rPr>
        <w:t xml:space="preserve"> 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 в наименовании глав </w:t>
      </w: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в пунктах 13, 15-19, 28 слово "выпуска" заменить словами "эмиссии и публ ичного размещения";</w:t>
      </w:r>
    </w:p>
    <w:p>
      <w:pPr>
        <w:spacing w:after="120"/>
        <w:ind w:firstLine="567"/>
        <w:jc w:val="both"/>
      </w:pPr>
      <w:r>
        <w:rPr>
          <w:rFonts w:ascii="Arial" w:cs="Arial" w:eastAsia="Arial" w:hAnsi="Arial"/>
          <w:sz w:val="24"/>
          <w:szCs w:val="24"/>
        </w:rPr>
        <w:t xml:space="preserve">- пункт 8 признать утратившим силу;</w:t>
      </w:r>
    </w:p>
    <w:p>
      <w:pPr>
        <w:spacing w:after="120"/>
        <w:ind w:firstLine="567"/>
        <w:jc w:val="both"/>
      </w:pPr>
      <w:r>
        <w:rPr>
          <w:rFonts w:ascii="Arial" w:cs="Arial" w:eastAsia="Arial" w:hAnsi="Arial"/>
          <w:sz w:val="24"/>
          <w:szCs w:val="24"/>
        </w:rPr>
        <w:t xml:space="preserve">- пункты 9-11 изложить в следующей редакции:</w:t>
      </w:r>
    </w:p>
    <w:p>
      <w:pPr>
        <w:spacing w:after="120"/>
        <w:ind w:firstLine="567"/>
        <w:jc w:val="both"/>
      </w:pPr>
      <w:r>
        <w:rPr>
          <w:rFonts w:ascii="Arial" w:cs="Arial" w:eastAsia="Arial" w:hAnsi="Arial"/>
          <w:sz w:val="24"/>
          <w:szCs w:val="24"/>
        </w:rPr>
        <w:t xml:space="preserve">"9. Для государственной регистрации эмиссии и публичного размещения виртуальных активов эмитент представляет в уполномоченный государственный орган следующие документы:</w:t>
      </w:r>
    </w:p>
    <w:p>
      <w:pPr>
        <w:spacing w:after="120"/>
        <w:ind w:firstLine="567"/>
        <w:jc w:val="both"/>
      </w:pPr>
      <w:r>
        <w:rPr>
          <w:rFonts w:ascii="Arial" w:cs="Arial" w:eastAsia="Arial" w:hAnsi="Arial"/>
          <w:sz w:val="24"/>
          <w:szCs w:val="24"/>
        </w:rPr>
        <w:t xml:space="preserve">1) заявление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2) решение о выпуске и размещении виртуальных активов;</w:t>
      </w:r>
    </w:p>
    <w:p>
      <w:pPr>
        <w:spacing w:after="120"/>
        <w:ind w:firstLine="567"/>
        <w:jc w:val="both"/>
      </w:pPr>
      <w:r>
        <w:rPr>
          <w:rFonts w:ascii="Arial" w:cs="Arial" w:eastAsia="Arial" w:hAnsi="Arial"/>
          <w:sz w:val="24"/>
          <w:szCs w:val="24"/>
        </w:rPr>
        <w:t xml:space="preserve">3) белая бумага (white paper) в 3 экземплярах;</w:t>
      </w:r>
    </w:p>
    <w:p>
      <w:pPr>
        <w:spacing w:after="120"/>
        <w:ind w:firstLine="567"/>
        <w:jc w:val="both"/>
      </w:pPr>
      <w:r>
        <w:rPr>
          <w:rFonts w:ascii="Arial" w:cs="Arial" w:eastAsia="Arial" w:hAnsi="Arial"/>
          <w:sz w:val="24"/>
          <w:szCs w:val="24"/>
        </w:rPr>
        <w:t xml:space="preserve">4) название блокчейна, адрес кошелька виртуальных активов эмитента и смарт-контракта в электронной форме;</w:t>
      </w:r>
    </w:p>
    <w:p>
      <w:pPr>
        <w:spacing w:after="120"/>
        <w:ind w:firstLine="567"/>
        <w:jc w:val="both"/>
      </w:pPr>
      <w:r>
        <w:rPr>
          <w:rFonts w:ascii="Arial" w:cs="Arial" w:eastAsia="Arial" w:hAnsi="Arial"/>
          <w:sz w:val="24"/>
          <w:szCs w:val="24"/>
        </w:rPr>
        <w:t xml:space="preserve">5) копия документа, подтверждающего регистрацию эмитента в качестве юридического лица (для эмитента - юридического лица);</w:t>
      </w:r>
    </w:p>
    <w:p>
      <w:pPr>
        <w:spacing w:after="120"/>
        <w:ind w:firstLine="567"/>
        <w:jc w:val="both"/>
      </w:pPr>
      <w:r>
        <w:rPr>
          <w:rFonts w:ascii="Arial" w:cs="Arial" w:eastAsia="Arial" w:hAnsi="Arial"/>
          <w:sz w:val="24"/>
          <w:szCs w:val="24"/>
        </w:rPr>
        <w:t xml:space="preserve">6) копии учредительных документов (для эмитента - юридического лица);</w:t>
      </w:r>
    </w:p>
    <w:p>
      <w:pPr>
        <w:spacing w:after="120"/>
        <w:ind w:firstLine="567"/>
        <w:jc w:val="both"/>
      </w:pPr>
      <w:r>
        <w:rPr>
          <w:rFonts w:ascii="Arial" w:cs="Arial" w:eastAsia="Arial" w:hAnsi="Arial"/>
          <w:sz w:val="24"/>
          <w:szCs w:val="24"/>
        </w:rPr>
        <w:t xml:space="preserve">7) копия паспорта (для эмитента - физического лица);</w:t>
      </w:r>
    </w:p>
    <w:p>
      <w:pPr>
        <w:spacing w:after="120"/>
        <w:ind w:firstLine="567"/>
        <w:jc w:val="both"/>
      </w:pPr>
      <w:r>
        <w:rPr>
          <w:rFonts w:ascii="Arial" w:cs="Arial" w:eastAsia="Arial" w:hAnsi="Arial"/>
          <w:sz w:val="24"/>
          <w:szCs w:val="24"/>
        </w:rPr>
        <w:t xml:space="preserve">8) документ, подтверждающий оплату регистрационного сбора;</w:t>
      </w:r>
    </w:p>
    <w:p>
      <w:pPr>
        <w:spacing w:after="120"/>
        <w:ind w:firstLine="567"/>
        <w:jc w:val="both"/>
      </w:pPr>
      <w:r>
        <w:rPr>
          <w:rFonts w:ascii="Arial" w:cs="Arial" w:eastAsia="Arial" w:hAnsi="Arial"/>
          <w:sz w:val="24"/>
          <w:szCs w:val="24"/>
        </w:rPr>
        <w:t xml:space="preserve">9) документы, подтверждающие наличие обеспечения исполнения обязательств эмитента;</w:t>
      </w:r>
    </w:p>
    <w:p>
      <w:pPr>
        <w:spacing w:after="120"/>
        <w:ind w:firstLine="567"/>
        <w:jc w:val="both"/>
      </w:pPr>
      <w:r>
        <w:rPr>
          <w:rFonts w:ascii="Arial" w:cs="Arial" w:eastAsia="Arial" w:hAnsi="Arial"/>
          <w:sz w:val="24"/>
          <w:szCs w:val="24"/>
        </w:rPr>
        <w:t xml:space="preserve">10) копия оценки независимым оценщиком имущества, являющегося предметом обеспечения и/или залога по виртуальным активам;</w:t>
      </w:r>
    </w:p>
    <w:p>
      <w:pPr>
        <w:spacing w:after="120"/>
        <w:ind w:firstLine="567"/>
        <w:jc w:val="both"/>
      </w:pPr>
      <w:r>
        <w:rPr>
          <w:rFonts w:ascii="Arial" w:cs="Arial" w:eastAsia="Arial" w:hAnsi="Arial"/>
          <w:sz w:val="24"/>
          <w:szCs w:val="24"/>
        </w:rPr>
        <w:t xml:space="preserve">11) документ, подтверждающий регистрацию залогового обеспечения;</w:t>
      </w:r>
    </w:p>
    <w:p>
      <w:pPr>
        <w:spacing w:after="120"/>
        <w:ind w:firstLine="567"/>
        <w:jc w:val="both"/>
      </w:pPr>
      <w:r>
        <w:rPr>
          <w:rFonts w:ascii="Arial" w:cs="Arial" w:eastAsia="Arial" w:hAnsi="Arial"/>
          <w:sz w:val="24"/>
          <w:szCs w:val="24"/>
        </w:rPr>
        <w:t xml:space="preserve">12) копия договора об управлении залогом;</w:t>
      </w:r>
    </w:p>
    <w:p>
      <w:pPr>
        <w:spacing w:after="120"/>
        <w:ind w:firstLine="567"/>
        <w:jc w:val="both"/>
      </w:pPr>
      <w:r>
        <w:rPr>
          <w:rFonts w:ascii="Arial" w:cs="Arial" w:eastAsia="Arial" w:hAnsi="Arial"/>
          <w:sz w:val="24"/>
          <w:szCs w:val="24"/>
        </w:rPr>
        <w:t xml:space="preserve">13) заполненные и подписанные эмитентом или учредителями/акционерами эмитента анкеты согласно приложениям 4, 5 к настоящему Положению либо сканированные копии заполненных анкет с последующим представлением оригинала.</w:t>
      </w:r>
    </w:p>
    <w:p>
      <w:pPr>
        <w:spacing w:after="120"/>
        <w:ind w:firstLine="567"/>
        <w:jc w:val="both"/>
      </w:pPr>
      <w:r>
        <w:rPr>
          <w:rFonts w:ascii="Arial" w:cs="Arial" w:eastAsia="Arial" w:hAnsi="Arial"/>
          <w:sz w:val="24"/>
          <w:szCs w:val="24"/>
        </w:rPr>
        <w:t xml:space="preserve">10. Уполномоченный государственный орган регистрирует эмиссию и публичное размещение виртуальных активов или принимает мотивированное решение об отказе в государственной регистрации эмиссии и публичного размещения виртуальных активов не позднее чем через 20 (двадцать) рабочих дней со дня получения документов для государственной регистрации эмиссии и публичного размещения виртуальных активов.</w:t>
      </w:r>
    </w:p>
    <w:p>
      <w:pPr>
        <w:spacing w:after="120"/>
        <w:ind w:firstLine="567"/>
        <w:jc w:val="both"/>
      </w:pPr>
      <w:r>
        <w:rPr>
          <w:rFonts w:ascii="Arial" w:cs="Arial" w:eastAsia="Arial" w:hAnsi="Arial"/>
          <w:sz w:val="24"/>
          <w:szCs w:val="24"/>
        </w:rPr>
        <w:t xml:space="preserve">11. В случае принятия решения о государственной регистрации эмиссии и публичного размещения виртуальных активов эмитенту выдается решение уполномоченного государственного органа о государственной регистрации эмиссии и публичного размещения виртуальных активов и два экземпляра зарегистрированной белой бумаги (white paper).";</w:t>
      </w:r>
    </w:p>
    <w:p>
      <w:pPr>
        <w:spacing w:after="120"/>
        <w:ind w:firstLine="567"/>
        <w:jc w:val="both"/>
      </w:pPr>
      <w:r>
        <w:rPr>
          <w:rFonts w:ascii="Arial" w:cs="Arial" w:eastAsia="Arial" w:hAnsi="Arial"/>
          <w:sz w:val="24"/>
          <w:szCs w:val="24"/>
        </w:rPr>
        <w:t xml:space="preserve">- в пункте 17:</w:t>
      </w:r>
    </w:p>
    <w:p>
      <w:pPr>
        <w:spacing w:after="120"/>
        <w:ind w:firstLine="567"/>
        <w:jc w:val="both"/>
      </w:pPr>
      <w:r>
        <w:rPr>
          <w:rFonts w:ascii="Arial" w:cs="Arial" w:eastAsia="Arial" w:hAnsi="Arial"/>
          <w:sz w:val="24"/>
          <w:szCs w:val="24"/>
        </w:rPr>
        <w:t xml:space="preserve">абзац второй после слова "эмиссии" дополнить словами "и публичного размещения";</w:t>
      </w:r>
    </w:p>
    <w:p>
      <w:pPr>
        <w:spacing w:after="120"/>
        <w:ind w:firstLine="567"/>
        <w:jc w:val="both"/>
      </w:pPr>
      <w:r>
        <w:rPr>
          <w:rFonts w:ascii="Arial" w:cs="Arial" w:eastAsia="Arial" w:hAnsi="Arial"/>
          <w:sz w:val="24"/>
          <w:szCs w:val="24"/>
        </w:rPr>
        <w:t xml:space="preserve">в абзаце третьем слова "об эмиссии" заменить словами "о выпуске и размещении";</w:t>
      </w:r>
    </w:p>
    <w:p>
      <w:pPr>
        <w:spacing w:after="120"/>
        <w:ind w:firstLine="567"/>
        <w:jc w:val="both"/>
      </w:pPr>
      <w:r>
        <w:rPr>
          <w:rFonts w:ascii="Arial" w:cs="Arial" w:eastAsia="Arial" w:hAnsi="Arial"/>
          <w:sz w:val="24"/>
          <w:szCs w:val="24"/>
        </w:rPr>
        <w:t xml:space="preserve">- пункт 20 изложить в следующей редакции:</w:t>
      </w:r>
    </w:p>
    <w:p>
      <w:pPr>
        <w:spacing w:after="120"/>
        <w:ind w:firstLine="567"/>
        <w:jc w:val="both"/>
      </w:pPr>
      <w:r>
        <w:rPr>
          <w:rFonts w:ascii="Arial" w:cs="Arial" w:eastAsia="Arial" w:hAnsi="Arial"/>
          <w:sz w:val="24"/>
          <w:szCs w:val="24"/>
        </w:rPr>
        <w:t xml:space="preserve">"20. Виртуальные активы могут публично предлагаться в течение срока, установленного в белой бумаге (white paper).";</w:t>
      </w:r>
    </w:p>
    <w:p>
      <w:pPr>
        <w:spacing w:after="120"/>
        <w:ind w:firstLine="567"/>
        <w:jc w:val="both"/>
      </w:pPr>
      <w:r>
        <w:rPr>
          <w:rFonts w:ascii="Arial" w:cs="Arial" w:eastAsia="Arial" w:hAnsi="Arial"/>
          <w:sz w:val="24"/>
          <w:szCs w:val="24"/>
        </w:rPr>
        <w:t xml:space="preserve">- пункты 26, 27 изложить в следующей редакции:</w:t>
      </w:r>
    </w:p>
    <w:p>
      <w:pPr>
        <w:spacing w:after="120"/>
        <w:ind w:firstLine="567"/>
        <w:jc w:val="both"/>
      </w:pPr>
      <w:r>
        <w:rPr>
          <w:rFonts w:ascii="Arial" w:cs="Arial" w:eastAsia="Arial" w:hAnsi="Arial"/>
          <w:sz w:val="24"/>
          <w:szCs w:val="24"/>
        </w:rPr>
        <w:t xml:space="preserve">"26. За государственную регистрацию эмиссии и публичного размещения виртуальных активов взимается сбор (регистрационный сбор) в размере 0,01 процента от общей номинальной стоимости всех виртуальных активов данного выпуска по курсу на криптобиржах на момент оплаты при условии наличия торгов и котировок по данному виртуальному активу.</w:t>
      </w:r>
    </w:p>
    <w:p>
      <w:pPr>
        <w:spacing w:after="120"/>
        <w:ind w:firstLine="567"/>
        <w:jc w:val="both"/>
      </w:pPr>
      <w:r>
        <w:rPr>
          <w:rFonts w:ascii="Arial" w:cs="Arial" w:eastAsia="Arial" w:hAnsi="Arial"/>
          <w:sz w:val="24"/>
          <w:szCs w:val="24"/>
        </w:rPr>
        <w:t xml:space="preserve">27. При отсутствии торгов и котировок по данному виртуальному активу на криптобиржах за государственную регистрацию эмиссии и публичное размещение виртуальных активов взимается сбор в размере 0,01 процента от общей номинальной стоимости всех виртуальных активов данного выпуска, заявленной эмитентом виртуальных активов.";</w:t>
      </w:r>
    </w:p>
    <w:p>
      <w:pPr>
        <w:spacing w:after="120"/>
        <w:ind w:firstLine="567"/>
        <w:jc w:val="both"/>
      </w:pPr>
      <w:r>
        <w:rPr>
          <w:rFonts w:ascii="Arial" w:cs="Arial" w:eastAsia="Arial" w:hAnsi="Arial"/>
          <w:sz w:val="24"/>
          <w:szCs w:val="24"/>
        </w:rPr>
        <w:t xml:space="preserve">- в абзаце первом пункта 31 слова "приложению 4" заменить словами "приложению 6";</w:t>
      </w:r>
    </w:p>
    <w:p>
      <w:pPr>
        <w:spacing w:after="120"/>
        <w:ind w:firstLine="567"/>
        <w:jc w:val="both"/>
      </w:pPr>
      <w:r>
        <w:rPr>
          <w:rFonts w:ascii="Arial" w:cs="Arial" w:eastAsia="Arial" w:hAnsi="Arial"/>
          <w:sz w:val="24"/>
          <w:szCs w:val="24"/>
        </w:rPr>
        <w:t xml:space="preserve">- в абзаце третьем пункта 32 слова "выпуска и размещения" заменить словами "эмиссии и/или публичного размещения";</w:t>
      </w:r>
    </w:p>
    <w:p>
      <w:pPr>
        <w:spacing w:after="12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вышеуказанному Положению изложить в редакции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 в наименовании </w:t>
      </w:r>
      <w:r>
        <w:rPr>
          <w:rFonts w:ascii="Arial" w:cs="Arial" w:eastAsia="Arial" w:hAnsi="Arial"/>
          <w:sz w:val="24"/>
          <w:szCs w:val="24"/>
        </w:rPr>
        <w:t xml:space="preserve">приложения 3</w:t>
      </w:r>
      <w:r>
        <w:rPr>
          <w:rFonts w:ascii="Arial" w:cs="Arial" w:eastAsia="Arial" w:hAnsi="Arial"/>
          <w:sz w:val="24"/>
          <w:szCs w:val="24"/>
        </w:rPr>
        <w:t xml:space="preserve"> к вышеуказанному Положению слово "выпуска" заменить словами "эмиссии и публичного размещения";</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приложения 6</w:t>
      </w:r>
      <w:r>
        <w:rPr>
          <w:rFonts w:ascii="Arial" w:cs="Arial" w:eastAsia="Arial" w:hAnsi="Arial"/>
          <w:sz w:val="24"/>
          <w:szCs w:val="24"/>
        </w:rPr>
        <w:t xml:space="preserve"> к вышеуказанному Положению изложить в следующей редакции: "Уведомление об итогах эмиссии и/или публичного размещения виртуальных активов";</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Положении </w:t>
      </w:r>
      <w:r>
        <w:rPr>
          <w:rFonts w:ascii="Arial" w:cs="Arial" w:eastAsia="Arial" w:hAnsi="Arial"/>
          <w:sz w:val="24"/>
          <w:szCs w:val="24"/>
        </w:rPr>
        <w:t xml:space="preserve">о деятельности оператора обмена виртуальных активов и ведении Реестра операторов обмена виртуальных активов, утвержденном вышеуказанным </w:t>
      </w:r>
      <w:hyperlink w:history="1" r:id="rId54n2qjdoqpj5qwtcvzr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абзац третий пункта 1 признать утратившим силу;</w:t>
      </w:r>
    </w:p>
    <w:p>
      <w:pPr>
        <w:spacing w:after="120"/>
        <w:ind w:firstLine="567"/>
        <w:jc w:val="both"/>
      </w:pPr>
      <w:r>
        <w:rPr>
          <w:rFonts w:ascii="Arial" w:cs="Arial" w:eastAsia="Arial" w:hAnsi="Arial"/>
          <w:sz w:val="24"/>
          <w:szCs w:val="24"/>
        </w:rPr>
        <w:t xml:space="preserve">- в пункте 2:</w:t>
      </w:r>
    </w:p>
    <w:p>
      <w:pPr>
        <w:spacing w:after="120"/>
        <w:ind w:firstLine="567"/>
        <w:jc w:val="both"/>
      </w:pPr>
      <w:r>
        <w:rPr>
          <w:rFonts w:ascii="Arial" w:cs="Arial" w:eastAsia="Arial" w:hAnsi="Arial"/>
          <w:sz w:val="24"/>
          <w:szCs w:val="24"/>
        </w:rPr>
        <w:t xml:space="preserve">абзац третий изложить в следующей редакции:</w:t>
      </w:r>
    </w:p>
    <w:p>
      <w:pPr>
        <w:spacing w:after="120"/>
        <w:ind w:firstLine="567"/>
        <w:jc w:val="both"/>
      </w:pPr>
      <w:r>
        <w:rPr>
          <w:rFonts w:ascii="Arial" w:cs="Arial" w:eastAsia="Arial" w:hAnsi="Arial"/>
          <w:sz w:val="24"/>
          <w:szCs w:val="24"/>
        </w:rPr>
        <w:t xml:space="preserve">"клиенты - контрагенты (физические и юридические лица) оператора обмена виртуальных активов, с которыми он вступил в договорные (в том числе на основании публичной оферты) взаимоотношения и совершает сделки (операции), предусмотренные в его бизнес-проекте (основной политике), либо которые обратились к нему за совершением таких сделок (операций);";</w:t>
      </w:r>
    </w:p>
    <w:p>
      <w:pPr>
        <w:spacing w:after="120"/>
        <w:ind w:firstLine="567"/>
        <w:jc w:val="both"/>
      </w:pPr>
      <w:r>
        <w:rPr>
          <w:rFonts w:ascii="Arial" w:cs="Arial" w:eastAsia="Arial" w:hAnsi="Arial"/>
          <w:sz w:val="24"/>
          <w:szCs w:val="24"/>
        </w:rPr>
        <w:t xml:space="preserve">дополнить абзацами следующего содержания:</w:t>
      </w:r>
    </w:p>
    <w:p>
      <w:pPr>
        <w:spacing w:after="120"/>
        <w:ind w:firstLine="567"/>
        <w:jc w:val="both"/>
      </w:pPr>
      <w:r>
        <w:rPr>
          <w:rFonts w:ascii="Arial" w:cs="Arial" w:eastAsia="Arial" w:hAnsi="Arial"/>
          <w:sz w:val="24"/>
          <w:szCs w:val="24"/>
        </w:rPr>
        <w:t xml:space="preserve">"верификация - процедура проверки идентификационных данных клиента и (или) бенефициарного владельца;</w:t>
      </w:r>
    </w:p>
    <w:p>
      <w:pPr>
        <w:spacing w:after="120"/>
        <w:ind w:firstLine="567"/>
        <w:jc w:val="both"/>
      </w:pPr>
      <w:r>
        <w:rPr>
          <w:rFonts w:ascii="Arial" w:cs="Arial" w:eastAsia="Arial" w:hAnsi="Arial"/>
          <w:sz w:val="24"/>
          <w:szCs w:val="24"/>
        </w:rPr>
        <w:t xml:space="preserve">идентификация - процедура установления идентификационных данных о клиенте и (или) бенефициарном владельце;</w:t>
      </w:r>
    </w:p>
    <w:p>
      <w:pPr>
        <w:spacing w:after="120"/>
        <w:ind w:firstLine="567"/>
        <w:jc w:val="both"/>
      </w:pPr>
      <w:r>
        <w:rPr>
          <w:rFonts w:ascii="Arial" w:cs="Arial" w:eastAsia="Arial" w:hAnsi="Arial"/>
          <w:sz w:val="24"/>
          <w:szCs w:val="24"/>
        </w:rPr>
        <w:t xml:space="preserve">крипто-банкомат - автоматизированная система обмена фиатных средств и виртуальных активов.";</w:t>
      </w:r>
    </w:p>
    <w:p>
      <w:pPr>
        <w:spacing w:after="12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2</w:t>
      </w:r>
      <w:r>
        <w:rPr>
          <w:rFonts w:ascii="Arial" w:cs="Arial" w:eastAsia="Arial" w:hAnsi="Arial"/>
          <w:sz w:val="24"/>
          <w:szCs w:val="24"/>
        </w:rPr>
        <w:t xml:space="preserve"> после слов "акционерам/учредителям/участникам" дополнить словами ", бенефициарным владельцам и должностным лицам";</w:t>
      </w:r>
    </w:p>
    <w:p>
      <w:pPr>
        <w:spacing w:after="120"/>
        <w:ind w:firstLine="567"/>
        <w:jc w:val="both"/>
      </w:pPr>
      <w:r>
        <w:rPr>
          <w:rFonts w:ascii="Arial" w:cs="Arial" w:eastAsia="Arial" w:hAnsi="Arial"/>
          <w:sz w:val="24"/>
          <w:szCs w:val="24"/>
        </w:rPr>
        <w:t xml:space="preserve">- пункты 5, 6 изложить в следующей редакции:</w:t>
      </w:r>
    </w:p>
    <w:p>
      <w:pPr>
        <w:spacing w:after="120"/>
        <w:ind w:firstLine="567"/>
        <w:jc w:val="both"/>
      </w:pPr>
      <w:r>
        <w:rPr>
          <w:rFonts w:ascii="Arial" w:cs="Arial" w:eastAsia="Arial" w:hAnsi="Arial"/>
          <w:sz w:val="24"/>
          <w:szCs w:val="24"/>
        </w:rPr>
        <w:t xml:space="preserve">"5. Акционерами/учредителями/участниками, бенефициарными владельцами и должностными лицами оператора обмена виртуальных активов могут быть физические и юридические лица, резиденты/нерезиденты Кыргызской Республики.</w:t>
      </w:r>
    </w:p>
    <w:p>
      <w:pPr>
        <w:spacing w:after="120"/>
        <w:ind w:firstLine="567"/>
        <w:jc w:val="both"/>
      </w:pPr>
      <w:r>
        <w:rPr>
          <w:rFonts w:ascii="Arial" w:cs="Arial" w:eastAsia="Arial" w:hAnsi="Arial"/>
          <w:sz w:val="24"/>
          <w:szCs w:val="24"/>
        </w:rPr>
        <w:t xml:space="preserve">Сведения об акционерах/учредителях/участниках, бенефициарных владельцах и должностных лицах юридического лица должны быть представлены в анкете, согласно приложениям </w:t>
      </w:r>
      <w:r>
        <w:rPr>
          <w:rFonts w:ascii="Arial" w:cs="Arial" w:eastAsia="Arial" w:hAnsi="Arial"/>
          <w:sz w:val="24"/>
          <w:szCs w:val="24"/>
        </w:rPr>
        <w:t xml:space="preserve">1</w:t>
      </w:r>
      <w:r>
        <w:rPr>
          <w:rFonts w:ascii="Arial" w:cs="Arial" w:eastAsia="Arial" w:hAnsi="Arial"/>
          <w:sz w:val="24"/>
          <w:szCs w:val="24"/>
        </w:rPr>
        <w:t xml:space="preserve">,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6. Не могут быть акционерами/учредителями/участниками, бенефициарными владельцами и должностными лицами оператора обмена виртуальных активов:</w:t>
      </w:r>
    </w:p>
    <w:p>
      <w:pPr>
        <w:spacing w:after="120"/>
        <w:ind w:firstLine="567"/>
        <w:jc w:val="both"/>
      </w:pPr>
      <w:r>
        <w:rPr>
          <w:rFonts w:ascii="Arial" w:cs="Arial" w:eastAsia="Arial" w:hAnsi="Arial"/>
          <w:sz w:val="24"/>
          <w:szCs w:val="24"/>
        </w:rPr>
        <w:t xml:space="preserve">- физические лица, постоянно проживающие в оффшорной зоне, и (или) юридические лица - нерезиденты, зарегистрированные в ней;</w:t>
      </w:r>
    </w:p>
    <w:p>
      <w:pPr>
        <w:spacing w:after="120"/>
        <w:ind w:firstLine="567"/>
        <w:jc w:val="both"/>
      </w:pPr>
      <w:r>
        <w:rPr>
          <w:rFonts w:ascii="Arial" w:cs="Arial" w:eastAsia="Arial" w:hAnsi="Arial"/>
          <w:sz w:val="24"/>
          <w:szCs w:val="24"/>
        </w:rPr>
        <w:t xml:space="preserve">- юридические и физические лица, имеющие счета в банках, расположенных в оффшорных зонах;</w:t>
      </w:r>
    </w:p>
    <w:p>
      <w:pPr>
        <w:spacing w:after="120"/>
        <w:ind w:firstLine="567"/>
        <w:jc w:val="both"/>
      </w:pPr>
      <w:r>
        <w:rPr>
          <w:rFonts w:ascii="Arial" w:cs="Arial" w:eastAsia="Arial" w:hAnsi="Arial"/>
          <w:sz w:val="24"/>
          <w:szCs w:val="24"/>
        </w:rPr>
        <w:t xml:space="preserve">- юридические лица, если их акционер (участник) является физическим лицом, постоянно проживающим в оффшорной зоне;</w:t>
      </w:r>
    </w:p>
    <w:p>
      <w:pPr>
        <w:spacing w:after="120"/>
        <w:ind w:firstLine="567"/>
        <w:jc w:val="both"/>
      </w:pPr>
      <w:r>
        <w:rPr>
          <w:rFonts w:ascii="Arial" w:cs="Arial" w:eastAsia="Arial" w:hAnsi="Arial"/>
          <w:sz w:val="24"/>
          <w:szCs w:val="24"/>
        </w:rPr>
        <w:t xml:space="preserve">- политические партии, профсоюзы и религиозные организации;</w:t>
      </w:r>
    </w:p>
    <w:p>
      <w:pPr>
        <w:spacing w:after="120"/>
        <w:ind w:firstLine="567"/>
        <w:jc w:val="both"/>
      </w:pPr>
      <w:r>
        <w:rPr>
          <w:rFonts w:ascii="Arial" w:cs="Arial" w:eastAsia="Arial" w:hAnsi="Arial"/>
          <w:sz w:val="24"/>
          <w:szCs w:val="24"/>
        </w:rPr>
        <w:t xml:space="preserve">- юридические и физические лица, включенные в санкционный перечень, определенный законодательством в сфере противодействия финансированию террористической деятельности и легализации (отмыванию) преступных доходов, а также противодействия финансированию экстремистской деятельности и финансированию распространения оружия массового уничтожения;</w:t>
      </w:r>
    </w:p>
    <w:p>
      <w:pPr>
        <w:spacing w:after="120"/>
        <w:ind w:firstLine="567"/>
        <w:jc w:val="both"/>
      </w:pPr>
      <w:r>
        <w:rPr>
          <w:rFonts w:ascii="Arial" w:cs="Arial" w:eastAsia="Arial" w:hAnsi="Arial"/>
          <w:sz w:val="24"/>
          <w:szCs w:val="24"/>
        </w:rPr>
        <w:t xml:space="preserve">- юридические и физические лица, в отношении которых имеется негативная информация на основании сведений, предоставляемых государственными органами, осуществляющими борьбу с терроризмом и экстремизмом, незаконным оборотом наркотических и психотропных средств, распространением оружия массового уничтожения, и другими компетентными органами Кыргызской Республики, а также сведений, полученных по официальным каналам от компетентных органов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 лица, имеющие непогашенную судимость, в том числе в других государствах;</w:t>
      </w:r>
    </w:p>
    <w:p>
      <w:pPr>
        <w:spacing w:after="120"/>
        <w:ind w:firstLine="567"/>
        <w:jc w:val="both"/>
      </w:pPr>
      <w:r>
        <w:rPr>
          <w:rFonts w:ascii="Arial" w:cs="Arial" w:eastAsia="Arial" w:hAnsi="Arial"/>
          <w:sz w:val="24"/>
          <w:szCs w:val="24"/>
        </w:rPr>
        <w:t xml:space="preserve">- лица, имеющие неисполненное судебное решение по уплате своих финансовых обязательств.";</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2 </w:t>
      </w:r>
      <w:r>
        <w:rPr>
          <w:rFonts w:ascii="Arial" w:cs="Arial" w:eastAsia="Arial" w:hAnsi="Arial"/>
          <w:sz w:val="24"/>
          <w:szCs w:val="24"/>
        </w:rPr>
        <w:t xml:space="preserve">дополнить пунктом 6-1 следующего содержания:</w:t>
      </w:r>
    </w:p>
    <w:p>
      <w:pPr>
        <w:spacing w:after="120"/>
        <w:ind w:firstLine="567"/>
        <w:jc w:val="both"/>
      </w:pPr>
      <w:r>
        <w:rPr>
          <w:rFonts w:ascii="Arial" w:cs="Arial" w:eastAsia="Arial" w:hAnsi="Arial"/>
          <w:sz w:val="24"/>
          <w:szCs w:val="24"/>
        </w:rPr>
        <w:t xml:space="preserve">"6-1. Должностные лица оператора обмена виртуальных активов подлежат обязательному согласованию с уполномоченным органом.</w:t>
      </w:r>
    </w:p>
    <w:p>
      <w:pPr>
        <w:spacing w:after="120"/>
        <w:ind w:firstLine="567"/>
        <w:jc w:val="both"/>
      </w:pPr>
      <w:r>
        <w:rPr>
          <w:rFonts w:ascii="Arial" w:cs="Arial" w:eastAsia="Arial" w:hAnsi="Arial"/>
          <w:sz w:val="24"/>
          <w:szCs w:val="24"/>
        </w:rPr>
        <w:t xml:space="preserve">Должностными лицами оператора обмена виртуальных активов, кандидатуры которых подлежат согласованию, являются:</w:t>
      </w:r>
    </w:p>
    <w:p>
      <w:pPr>
        <w:spacing w:after="120"/>
        <w:ind w:firstLine="567"/>
        <w:jc w:val="both"/>
      </w:pPr>
      <w:r>
        <w:rPr>
          <w:rFonts w:ascii="Arial" w:cs="Arial" w:eastAsia="Arial" w:hAnsi="Arial"/>
          <w:sz w:val="24"/>
          <w:szCs w:val="24"/>
        </w:rPr>
        <w:t xml:space="preserve">- руководитель и члены совета директоров (при наличии);</w:t>
      </w:r>
    </w:p>
    <w:p>
      <w:pPr>
        <w:spacing w:after="120"/>
        <w:ind w:firstLine="567"/>
        <w:jc w:val="both"/>
      </w:pPr>
      <w:r>
        <w:rPr>
          <w:rFonts w:ascii="Arial" w:cs="Arial" w:eastAsia="Arial" w:hAnsi="Arial"/>
          <w:sz w:val="24"/>
          <w:szCs w:val="24"/>
        </w:rPr>
        <w:t xml:space="preserve">- руководитель (лицо, единолично осуществляющее функции исполнительного органа) и члены исполнительного органа;</w:t>
      </w:r>
    </w:p>
    <w:p>
      <w:pPr>
        <w:spacing w:after="120"/>
        <w:ind w:firstLine="567"/>
        <w:jc w:val="both"/>
      </w:pPr>
      <w:r>
        <w:rPr>
          <w:rFonts w:ascii="Arial" w:cs="Arial" w:eastAsia="Arial" w:hAnsi="Arial"/>
          <w:sz w:val="24"/>
          <w:szCs w:val="24"/>
        </w:rPr>
        <w:t xml:space="preserve">- главный бухгалтер или единственный бухгалтер;</w:t>
      </w:r>
    </w:p>
    <w:p>
      <w:pPr>
        <w:spacing w:after="120"/>
        <w:ind w:firstLine="567"/>
        <w:jc w:val="both"/>
      </w:pPr>
      <w:r>
        <w:rPr>
          <w:rFonts w:ascii="Arial" w:cs="Arial" w:eastAsia="Arial" w:hAnsi="Arial"/>
          <w:sz w:val="24"/>
          <w:szCs w:val="24"/>
        </w:rPr>
        <w:t xml:space="preserve">- уполномоченный сотрудник или директор по рискам и комплаенсу.</w:t>
      </w:r>
    </w:p>
    <w:p>
      <w:pPr>
        <w:spacing w:after="120"/>
        <w:ind w:firstLine="567"/>
        <w:jc w:val="both"/>
      </w:pPr>
      <w:r>
        <w:rPr>
          <w:rFonts w:ascii="Arial" w:cs="Arial" w:eastAsia="Arial" w:hAnsi="Arial"/>
          <w:sz w:val="24"/>
          <w:szCs w:val="24"/>
        </w:rPr>
        <w:t xml:space="preserve">Должностное лицо оператора обмена виртуальных активов вправе занимать свою должность без согласования не более 45 календарных дней со дня его назначения (избрания).</w:t>
      </w:r>
    </w:p>
    <w:p>
      <w:pPr>
        <w:spacing w:after="120"/>
        <w:ind w:firstLine="567"/>
        <w:jc w:val="both"/>
      </w:pPr>
      <w:r>
        <w:rPr>
          <w:rFonts w:ascii="Arial" w:cs="Arial" w:eastAsia="Arial" w:hAnsi="Arial"/>
          <w:sz w:val="24"/>
          <w:szCs w:val="24"/>
        </w:rPr>
        <w:t xml:space="preserve">По истечении срока, указанного в настоящем пункте, и в случаях непредставления полного пакета документов на согласование либо отказа в согласовании оператор обмена виртуальных активов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лица.</w:t>
      </w:r>
    </w:p>
    <w:p>
      <w:pPr>
        <w:spacing w:after="12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должностного лица оператора обмена виртуальных активов без согласования свыше срока, установленного настоящим пунктом.</w:t>
      </w:r>
    </w:p>
    <w:p>
      <w:pPr>
        <w:spacing w:after="120"/>
        <w:ind w:firstLine="567"/>
        <w:jc w:val="both"/>
      </w:pPr>
      <w:r>
        <w:rPr>
          <w:rFonts w:ascii="Arial" w:cs="Arial" w:eastAsia="Arial" w:hAnsi="Arial"/>
          <w:sz w:val="24"/>
          <w:szCs w:val="24"/>
        </w:rPr>
        <w:t xml:space="preserve">Для согласования должностного лица оператор обмена виртуальных активов должен представить в уполномоченный орган письмо о согласовании (отдельно) каждой кандидатуры, с приложением заверенных копий следующих документов:</w:t>
      </w:r>
    </w:p>
    <w:p>
      <w:pPr>
        <w:spacing w:after="120"/>
        <w:ind w:firstLine="567"/>
        <w:jc w:val="both"/>
      </w:pPr>
      <w:r>
        <w:rPr>
          <w:rFonts w:ascii="Arial" w:cs="Arial" w:eastAsia="Arial" w:hAnsi="Arial"/>
          <w:sz w:val="24"/>
          <w:szCs w:val="24"/>
        </w:rPr>
        <w:t xml:space="preserve">- решение об избрании/назначении кандидатуры;</w:t>
      </w:r>
    </w:p>
    <w:p>
      <w:pPr>
        <w:spacing w:after="120"/>
        <w:ind w:firstLine="567"/>
        <w:jc w:val="both"/>
      </w:pPr>
      <w:r>
        <w:rPr>
          <w:rFonts w:ascii="Arial" w:cs="Arial" w:eastAsia="Arial" w:hAnsi="Arial"/>
          <w:sz w:val="24"/>
          <w:szCs w:val="24"/>
        </w:rPr>
        <w:t xml:space="preserve">- удостоверение личности кандидата;</w:t>
      </w:r>
    </w:p>
    <w:p>
      <w:pPr>
        <w:spacing w:after="120"/>
        <w:ind w:firstLine="567"/>
        <w:jc w:val="both"/>
      </w:pPr>
      <w:r>
        <w:rPr>
          <w:rFonts w:ascii="Arial" w:cs="Arial" w:eastAsia="Arial" w:hAnsi="Arial"/>
          <w:sz w:val="24"/>
          <w:szCs w:val="24"/>
        </w:rPr>
        <w:t xml:space="preserve">- оригинал справки об отсутствии судимости;</w:t>
      </w:r>
    </w:p>
    <w:p>
      <w:pPr>
        <w:spacing w:after="120"/>
        <w:ind w:firstLine="567"/>
        <w:jc w:val="both"/>
      </w:pPr>
      <w:r>
        <w:rPr>
          <w:rFonts w:ascii="Arial" w:cs="Arial" w:eastAsia="Arial" w:hAnsi="Arial"/>
          <w:sz w:val="24"/>
          <w:szCs w:val="24"/>
        </w:rPr>
        <w:t xml:space="preserve">- оригинал анкеты кандидата по установленной форме согласно приложению 1 к настоящему Положению.</w:t>
      </w:r>
    </w:p>
    <w:p>
      <w:pPr>
        <w:spacing w:after="120"/>
        <w:ind w:firstLine="567"/>
        <w:jc w:val="both"/>
      </w:pPr>
      <w:r>
        <w:rPr>
          <w:rFonts w:ascii="Arial" w:cs="Arial" w:eastAsia="Arial" w:hAnsi="Arial"/>
          <w:sz w:val="24"/>
          <w:szCs w:val="24"/>
        </w:rPr>
        <w:t xml:space="preserve">Если документы для согласования кандидатуры должностного лица имеются в системе межведомственного электронного взаимодействия "Тундук", то их представление в уполномоченный орган не требуется.</w:t>
      </w:r>
    </w:p>
    <w:p>
      <w:pPr>
        <w:spacing w:after="120"/>
        <w:ind w:firstLine="567"/>
        <w:jc w:val="both"/>
      </w:pPr>
      <w:r>
        <w:rPr>
          <w:rFonts w:ascii="Arial" w:cs="Arial" w:eastAsia="Arial" w:hAnsi="Arial"/>
          <w:sz w:val="24"/>
          <w:szCs w:val="24"/>
        </w:rPr>
        <w:t xml:space="preserve">При изменении в составе должностных лиц, прошедших процедуру согласования, оператор обмена виртуальных активов в течение 5 (пять) рабочих дней со дня избрания (назначения) нового должностного лица обязан предоставить в уполномоченный орган уведомление об изменениях. Письмо о согласовании новой кандидатуры представляется в уполномоченный орган в течение 10 (десять) рабочих дней со дня избрания (назначения) с приложением перечисленных выше документов.</w:t>
      </w:r>
    </w:p>
    <w:p>
      <w:pPr>
        <w:spacing w:after="120"/>
        <w:ind w:firstLine="567"/>
        <w:jc w:val="both"/>
      </w:pPr>
      <w:r>
        <w:rPr>
          <w:rFonts w:ascii="Arial" w:cs="Arial" w:eastAsia="Arial" w:hAnsi="Arial"/>
          <w:sz w:val="24"/>
          <w:szCs w:val="24"/>
        </w:rPr>
        <w:t xml:space="preserve">При изменении информации, содержащейся в пунктах анкеты, должностные лица, прошедшие согласование, обязаны уведомлять об этом (в письменной форме) уполномоченный орган в течение 10 (десять) рабочих дней после изменений.</w:t>
      </w:r>
    </w:p>
    <w:p>
      <w:pPr>
        <w:spacing w:after="120"/>
        <w:ind w:firstLine="567"/>
        <w:jc w:val="both"/>
      </w:pPr>
      <w:r>
        <w:rPr>
          <w:rFonts w:ascii="Arial" w:cs="Arial" w:eastAsia="Arial" w:hAnsi="Arial"/>
          <w:sz w:val="24"/>
          <w:szCs w:val="24"/>
        </w:rPr>
        <w:t xml:space="preserve">Документы на согласование должностного лица представляются на государственном или официальном языках.</w:t>
      </w:r>
    </w:p>
    <w:p>
      <w:pPr>
        <w:spacing w:after="120"/>
        <w:ind w:firstLine="567"/>
        <w:jc w:val="both"/>
      </w:pPr>
      <w:r>
        <w:rPr>
          <w:rFonts w:ascii="Arial" w:cs="Arial" w:eastAsia="Arial" w:hAnsi="Arial"/>
          <w:sz w:val="24"/>
          <w:szCs w:val="24"/>
        </w:rPr>
        <w:t xml:space="preserve">Документы, представленные для выдачи согласия на назначение (избрание) должностных лиц оператора обмена виртуальных активов, рассматриваются уполномоченным органом в течение 30 (тридцать) календарных дней с даты представления полного пакета документов в соответствии с требованиями настоящего Положения.</w:t>
      </w:r>
    </w:p>
    <w:p>
      <w:pPr>
        <w:spacing w:after="120"/>
        <w:ind w:firstLine="567"/>
        <w:jc w:val="both"/>
      </w:pPr>
      <w:r>
        <w:rPr>
          <w:rFonts w:ascii="Arial" w:cs="Arial" w:eastAsia="Arial" w:hAnsi="Arial"/>
          <w:sz w:val="24"/>
          <w:szCs w:val="24"/>
        </w:rPr>
        <w:t xml:space="preserve">В выдаче согласия на назначение (избрание) должностных лиц оператора обмена виртуальных активов отказывается по следующим основаниям:</w:t>
      </w:r>
    </w:p>
    <w:p>
      <w:pPr>
        <w:spacing w:after="120"/>
        <w:ind w:firstLine="567"/>
        <w:jc w:val="both"/>
      </w:pPr>
      <w:r>
        <w:rPr>
          <w:rFonts w:ascii="Arial" w:cs="Arial" w:eastAsia="Arial" w:hAnsi="Arial"/>
          <w:sz w:val="24"/>
          <w:szCs w:val="24"/>
        </w:rPr>
        <w:t xml:space="preserve">- несоответствие должностных лиц требованиям, установленным </w:t>
      </w:r>
      <w:hyperlink w:history="1" r:id="rIdme6xhqq2sb1t1tvybswf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120"/>
        <w:ind w:firstLine="567"/>
        <w:jc w:val="both"/>
      </w:pPr>
      <w:r>
        <w:rPr>
          <w:rFonts w:ascii="Arial" w:cs="Arial" w:eastAsia="Arial" w:hAnsi="Arial"/>
          <w:sz w:val="24"/>
          <w:szCs w:val="24"/>
        </w:rPr>
        <w:t xml:space="preserve">- неустранение оператором обмена виртуальных активов замечаний или представление оператором обмена виртуальных активов доработанных с учетом замечаний документов по истечении установленного настоящим пунктом срока рассмотрения документов;</w:t>
      </w:r>
    </w:p>
    <w:p>
      <w:pPr>
        <w:spacing w:after="120"/>
        <w:ind w:firstLine="567"/>
        <w:jc w:val="both"/>
      </w:pPr>
      <w:r>
        <w:rPr>
          <w:rFonts w:ascii="Arial" w:cs="Arial" w:eastAsia="Arial" w:hAnsi="Arial"/>
          <w:sz w:val="24"/>
          <w:szCs w:val="24"/>
        </w:rPr>
        <w:t xml:space="preserve">- представление документов по истечении установленного настоящим пунктом срока, в течение которого должностное лицо может занимать свою должность без согласования.</w:t>
      </w:r>
    </w:p>
    <w:p>
      <w:pPr>
        <w:spacing w:after="120"/>
        <w:ind w:firstLine="567"/>
        <w:jc w:val="both"/>
      </w:pPr>
      <w:r>
        <w:rPr>
          <w:rFonts w:ascii="Arial" w:cs="Arial" w:eastAsia="Arial" w:hAnsi="Arial"/>
          <w:sz w:val="24"/>
          <w:szCs w:val="24"/>
        </w:rPr>
        <w:t xml:space="preserve">Выданное согласие на назначение (избрание) должностного лица оператора обмена виртуальных активов отзывается по следующим основаниям:</w:t>
      </w:r>
    </w:p>
    <w:p>
      <w:pPr>
        <w:spacing w:after="120"/>
        <w:ind w:firstLine="567"/>
        <w:jc w:val="both"/>
      </w:pPr>
      <w:r>
        <w:rPr>
          <w:rFonts w:ascii="Arial" w:cs="Arial" w:eastAsia="Arial" w:hAnsi="Arial"/>
          <w:sz w:val="24"/>
          <w:szCs w:val="24"/>
        </w:rPr>
        <w:t xml:space="preserve">- выявление недостоверных сведений, на основании которых было выдано согласие;</w:t>
      </w:r>
    </w:p>
    <w:p>
      <w:pPr>
        <w:spacing w:after="120"/>
        <w:ind w:firstLine="567"/>
        <w:jc w:val="both"/>
      </w:pPr>
      <w:r>
        <w:rPr>
          <w:rFonts w:ascii="Arial" w:cs="Arial" w:eastAsia="Arial" w:hAnsi="Arial"/>
          <w:sz w:val="24"/>
          <w:szCs w:val="24"/>
        </w:rPr>
        <w:t xml:space="preserve">- систематическое (3 (три) и более раза в течение последних 12 календарных месяцев) применение уполномоченным органом мер воздействия к должностному лицу и/или оператора обмена виртуальных активов, в котором данное должностное лицо занимает (занимал в течение последних 12 календарных месяцев) соответствующую должность;</w:t>
      </w:r>
    </w:p>
    <w:p>
      <w:pPr>
        <w:spacing w:after="120"/>
        <w:ind w:firstLine="567"/>
        <w:jc w:val="both"/>
      </w:pPr>
      <w:r>
        <w:rPr>
          <w:rFonts w:ascii="Arial" w:cs="Arial" w:eastAsia="Arial" w:hAnsi="Arial"/>
          <w:sz w:val="24"/>
          <w:szCs w:val="24"/>
        </w:rPr>
        <w:t xml:space="preserve">- наличие непогашенной судимости.</w:t>
      </w:r>
    </w:p>
    <w:p>
      <w:pPr>
        <w:spacing w:after="120"/>
        <w:ind w:firstLine="567"/>
        <w:jc w:val="both"/>
      </w:pPr>
      <w:r>
        <w:rPr>
          <w:rFonts w:ascii="Arial" w:cs="Arial" w:eastAsia="Arial" w:hAnsi="Arial"/>
          <w:sz w:val="24"/>
          <w:szCs w:val="24"/>
        </w:rPr>
        <w:t xml:space="preserve">В случае отзыва согласия на назначение (избрание) должностного лица оператора обмена виртуальных активов оператор обмена виртуальных активов обязан расторгнуть трудовой договор с данным лицом не позднее чем через 14 (четырнадцать) календарных дней со дня получения отзыва. В случае если трудовой договор отсутствует, оператор обмена виртуальных активов должен принять меры по прекращению полномочий данного должностного лица.";</w:t>
      </w:r>
    </w:p>
    <w:p>
      <w:pPr>
        <w:spacing w:after="120"/>
        <w:ind w:firstLine="567"/>
        <w:jc w:val="both"/>
      </w:pPr>
      <w:r>
        <w:rPr>
          <w:rFonts w:ascii="Arial" w:cs="Arial" w:eastAsia="Arial" w:hAnsi="Arial"/>
          <w:sz w:val="24"/>
          <w:szCs w:val="24"/>
        </w:rPr>
        <w:t xml:space="preserve">- пункт 7 изложить в следующей редакции:</w:t>
      </w:r>
    </w:p>
    <w:p>
      <w:pPr>
        <w:spacing w:after="120"/>
        <w:ind w:firstLine="567"/>
        <w:jc w:val="both"/>
      </w:pPr>
      <w:r>
        <w:rPr>
          <w:rFonts w:ascii="Arial" w:cs="Arial" w:eastAsia="Arial" w:hAnsi="Arial"/>
          <w:sz w:val="24"/>
          <w:szCs w:val="24"/>
        </w:rPr>
        <w:t xml:space="preserve">"7. Оператор обмена виртуальных активов вправе устанавливать отношения с клиентами, которыми могут выступать любые физические и юридические лица (как резиденты, так и нерезиденты Кыргызской Республики), за исключением случаев, предусмотренных настоящим Положением 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Отношения оператора обмена виртуальных активов с клиентами строятся на договорной основе и/или публичной оферте.</w:t>
      </w:r>
    </w:p>
    <w:p>
      <w:pPr>
        <w:spacing w:after="120"/>
        <w:ind w:firstLine="567"/>
        <w:jc w:val="both"/>
      </w:pPr>
      <w:r>
        <w:rPr>
          <w:rFonts w:ascii="Arial" w:cs="Arial" w:eastAsia="Arial" w:hAnsi="Arial"/>
          <w:sz w:val="24"/>
          <w:szCs w:val="24"/>
        </w:rPr>
        <w:t xml:space="preserve">В договорах и/или публичной оферте, посредством которых устанавливаются отношения с клиентами, оператор обмена виртуальных активов обязан учитывать условия, предусмотренные настоящим Положением, </w:t>
      </w:r>
      <w:hyperlink w:history="1" r:id="rId3rvm1nqbv9pjs6ksqvogm">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виртуальных активах", а также законодательством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Принятие клиентом публичной оферты должно быть полным и безоговорочным. Совершение клиентом, получившим публичную оферту в срок, установленный для ее акцепта, действий по выполнению указанных в ней условий договора считается акцептом, если иное не предусмотрено законодательством в области гражданского права или не указано в публичной оферте.";</w:t>
      </w:r>
    </w:p>
    <w:p>
      <w:pPr>
        <w:spacing w:after="120"/>
        <w:ind w:firstLine="567"/>
        <w:jc w:val="both"/>
      </w:pPr>
      <w:r>
        <w:rPr>
          <w:rFonts w:ascii="Arial" w:cs="Arial" w:eastAsia="Arial" w:hAnsi="Arial"/>
          <w:sz w:val="24"/>
          <w:szCs w:val="24"/>
        </w:rPr>
        <w:t xml:space="preserve">- дополнить пунктом 7-1 следующего содержания:</w:t>
      </w:r>
    </w:p>
    <w:p>
      <w:pPr>
        <w:spacing w:after="120"/>
        <w:ind w:firstLine="567"/>
        <w:jc w:val="both"/>
      </w:pPr>
      <w:r>
        <w:rPr>
          <w:rFonts w:ascii="Arial" w:cs="Arial" w:eastAsia="Arial" w:hAnsi="Arial"/>
          <w:sz w:val="24"/>
          <w:szCs w:val="24"/>
        </w:rPr>
        <w:t xml:space="preserve">"7-1. Для установления отношений с клиентом оператор обмена виртуальных активов обязан провести идентификацию или удаленную идентификацию и верификацию или удаленную верификацию идентификационных данных клиента в соответствии с законодательством в сфере противодействия финансированию террористической деятельности и легализации (отмыванию) преступных доходов и в сфере оборота виртуальных активов.</w:t>
      </w:r>
    </w:p>
    <w:p>
      <w:pPr>
        <w:spacing w:after="120"/>
        <w:ind w:firstLine="567"/>
        <w:jc w:val="both"/>
      </w:pPr>
      <w:r>
        <w:rPr>
          <w:rFonts w:ascii="Arial" w:cs="Arial" w:eastAsia="Arial" w:hAnsi="Arial"/>
          <w:sz w:val="24"/>
          <w:szCs w:val="24"/>
        </w:rPr>
        <w:t xml:space="preserve">Все проверки транзакций юридических и физических лиц по виртуальным активам в рамках соблюдения мер по противодействию финансированию террористической деятельности и легализации (отмыванию) преступных доходов (AML) в обязательном порядке должны проходить через информационную систему (программное обеспечение), определенную уполномоченным органом.";</w:t>
      </w:r>
    </w:p>
    <w:p>
      <w:pPr>
        <w:spacing w:after="120"/>
        <w:ind w:firstLine="567"/>
        <w:jc w:val="both"/>
      </w:pPr>
      <w:r>
        <w:rPr>
          <w:rFonts w:ascii="Arial" w:cs="Arial" w:eastAsia="Arial" w:hAnsi="Arial"/>
          <w:sz w:val="24"/>
          <w:szCs w:val="24"/>
        </w:rPr>
        <w:t xml:space="preserve">- пункты 10-12 изложить в следующей редакции:</w:t>
      </w:r>
    </w:p>
    <w:p>
      <w:pPr>
        <w:spacing w:after="120"/>
        <w:ind w:firstLine="567"/>
        <w:jc w:val="both"/>
      </w:pPr>
      <w:r>
        <w:rPr>
          <w:rFonts w:ascii="Arial" w:cs="Arial" w:eastAsia="Arial" w:hAnsi="Arial"/>
          <w:sz w:val="24"/>
          <w:szCs w:val="24"/>
        </w:rPr>
        <w:t xml:space="preserve">"10. До совершения с гражданами Кыргызской Республики сделок по продаже им виртуальных активов за денежные средства или электронные деньги либо по обмену виртуальных активов одного вида на виртуальные активы другого вида оператор обмена виртуальных активов обязан убедиться в том, что они обладают достаточным уровнем знаний (компетентности) для совершения таких сделок. Оператор обмена виртуальных активов не вправе совершать названные сделки с теми гражданами Кыргызской Республики, в отношении которых он установил, что они таким уровнем знаний (компетентности) не обладают.</w:t>
      </w:r>
    </w:p>
    <w:p>
      <w:pPr>
        <w:spacing w:after="120"/>
        <w:ind w:firstLine="567"/>
        <w:jc w:val="both"/>
      </w:pPr>
      <w:r>
        <w:rPr>
          <w:rFonts w:ascii="Arial" w:cs="Arial" w:eastAsia="Arial" w:hAnsi="Arial"/>
          <w:sz w:val="24"/>
          <w:szCs w:val="24"/>
        </w:rPr>
        <w:t xml:space="preserve">Определение уровня знаний (компетентности) для совершения сделок, указанных в абзаце первом настоящего пункта, производится оператором обмена виртуальных активов посредством представления гражданам Кыргызской Республики вопросника (теста) для заполнения (решения).</w:t>
      </w:r>
    </w:p>
    <w:p>
      <w:pPr>
        <w:spacing w:after="120"/>
        <w:ind w:firstLine="567"/>
        <w:jc w:val="both"/>
      </w:pPr>
      <w:r>
        <w:rPr>
          <w:rFonts w:ascii="Arial" w:cs="Arial" w:eastAsia="Arial" w:hAnsi="Arial"/>
          <w:sz w:val="24"/>
          <w:szCs w:val="24"/>
        </w:rPr>
        <w:t xml:space="preserve">Вопросник (тест) и изменения/дополнения к нему подлежат согласованию с уполномоченным органом в порядке и сроки, установленные уполномоченным органом.</w:t>
      </w:r>
    </w:p>
    <w:p>
      <w:pPr>
        <w:spacing w:after="120"/>
        <w:ind w:firstLine="567"/>
        <w:jc w:val="both"/>
      </w:pPr>
      <w:r>
        <w:rPr>
          <w:rFonts w:ascii="Arial" w:cs="Arial" w:eastAsia="Arial" w:hAnsi="Arial"/>
          <w:sz w:val="24"/>
          <w:szCs w:val="24"/>
        </w:rPr>
        <w:t xml:space="preserve">Уполномоченный орган после получения соответствующего уведомления анализирует полученный вопросник (тест) и в случае наличия замечаний/предложений в течение 30 (тридцати) календарных дней со дня регистрации уведомления информирует оператора обмена виртуальных активов о необходимости проработки вопросника (теста).</w:t>
      </w:r>
    </w:p>
    <w:p>
      <w:pPr>
        <w:spacing w:after="120"/>
        <w:ind w:firstLine="567"/>
        <w:jc w:val="both"/>
      </w:pPr>
      <w:r>
        <w:rPr>
          <w:rFonts w:ascii="Arial" w:cs="Arial" w:eastAsia="Arial" w:hAnsi="Arial"/>
          <w:sz w:val="24"/>
          <w:szCs w:val="24"/>
        </w:rPr>
        <w:t xml:space="preserve">Оператор обмена виртуальных активов должен информировать клиента о рисках при осуществлении сделок с виртуальными активами.</w:t>
      </w:r>
    </w:p>
    <w:p>
      <w:pPr>
        <w:spacing w:after="120"/>
        <w:ind w:firstLine="567"/>
        <w:jc w:val="both"/>
      </w:pPr>
      <w:r>
        <w:rPr>
          <w:rFonts w:ascii="Arial" w:cs="Arial" w:eastAsia="Arial" w:hAnsi="Arial"/>
          <w:sz w:val="24"/>
          <w:szCs w:val="24"/>
        </w:rPr>
        <w:t xml:space="preserve">11. Оператор обмена виртуальных активов обязан обеспечить хранение документов по идентификации и верификации клиента, в том числе удаленной идентификации и верификации клиента, соответствующих анкет клиента, договора, а в случае, если клиент юридическое лицо, учредительных документов, свидетельства о регистрации, а также документов, полученных в ходе определения уровня знаний (компетентности), предусмотренного в пункте 10 настоящего Положения, не менее 5 (пять) лет с даты получения таких документов.</w:t>
      </w:r>
    </w:p>
    <w:p>
      <w:pPr>
        <w:spacing w:after="120"/>
        <w:ind w:firstLine="567"/>
        <w:jc w:val="both"/>
      </w:pPr>
      <w:r>
        <w:rPr>
          <w:rFonts w:ascii="Arial" w:cs="Arial" w:eastAsia="Arial" w:hAnsi="Arial"/>
          <w:sz w:val="24"/>
          <w:szCs w:val="24"/>
        </w:rPr>
        <w:t xml:space="preserve">12. Оператор обмена виртуальных активов вправе определить критерии, которым должны соответствовать нерезиденты Кыргызской Республики, а также юридические лица Кыргызской Республики для установления с ними отношений (в том числе требования к финансовому состоянию и репутации).</w:t>
      </w:r>
    </w:p>
    <w:p>
      <w:pPr>
        <w:spacing w:after="120"/>
        <w:ind w:firstLine="567"/>
        <w:jc w:val="both"/>
      </w:pPr>
      <w:r>
        <w:rPr>
          <w:rFonts w:ascii="Arial" w:cs="Arial" w:eastAsia="Arial" w:hAnsi="Arial"/>
          <w:sz w:val="24"/>
          <w:szCs w:val="24"/>
        </w:rPr>
        <w:t xml:space="preserve">Установленные оператором обмена виртуальных активов критерии должны соответствовать требованиям законодательства Кыргызской Республики в части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 абзац пятый пункта 13 изложить в следующей редакции:</w:t>
      </w:r>
    </w:p>
    <w:p>
      <w:pPr>
        <w:spacing w:after="120"/>
        <w:ind w:firstLine="567"/>
        <w:jc w:val="both"/>
      </w:pPr>
      <w:r>
        <w:rPr>
          <w:rFonts w:ascii="Arial" w:cs="Arial" w:eastAsia="Arial" w:hAnsi="Arial"/>
          <w:sz w:val="24"/>
          <w:szCs w:val="24"/>
        </w:rPr>
        <w:t xml:space="preserve">"- обеспечивать своевременное исполнение заявок клиентов на покупку и (или)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в соответствии с настоящим Положением (при наличии возможности исполнить такие заявки);";</w:t>
      </w:r>
    </w:p>
    <w:p>
      <w:pPr>
        <w:spacing w:after="120"/>
        <w:ind w:firstLine="567"/>
        <w:jc w:val="both"/>
      </w:pPr>
      <w:r>
        <w:rPr>
          <w:rFonts w:ascii="Arial" w:cs="Arial" w:eastAsia="Arial" w:hAnsi="Arial"/>
          <w:sz w:val="24"/>
          <w:szCs w:val="24"/>
        </w:rPr>
        <w:t xml:space="preserve">- абзац пятый пункта 15 изложить в следующей редакции:</w:t>
      </w:r>
    </w:p>
    <w:p>
      <w:pPr>
        <w:spacing w:after="120"/>
        <w:ind w:firstLine="567"/>
        <w:jc w:val="both"/>
      </w:pPr>
      <w:r>
        <w:rPr>
          <w:rFonts w:ascii="Arial" w:cs="Arial" w:eastAsia="Arial" w:hAnsi="Arial"/>
          <w:sz w:val="24"/>
          <w:szCs w:val="24"/>
        </w:rPr>
        <w:t xml:space="preserve">"- если в рекламе содержится информация о прошлых результатах, прогнозируемых результатах или предполагаемых ожидаемых результатах, она должна быть ясной и недвусмысленно раскрывать суть таких данных, время, в котором данные события имели место быть, и степень вероятности выводов, основанных на них, с соблюдением требований законодательства о рекламе;";</w:t>
      </w:r>
    </w:p>
    <w:p>
      <w:pPr>
        <w:spacing w:after="120"/>
        <w:ind w:firstLine="567"/>
        <w:jc w:val="both"/>
      </w:pPr>
      <w:r>
        <w:rPr>
          <w:rFonts w:ascii="Arial" w:cs="Arial" w:eastAsia="Arial" w:hAnsi="Arial"/>
          <w:sz w:val="24"/>
          <w:szCs w:val="24"/>
        </w:rPr>
        <w:t xml:space="preserve">- в пункте 16:</w:t>
      </w:r>
    </w:p>
    <w:p>
      <w:pPr>
        <w:spacing w:after="120"/>
        <w:ind w:firstLine="567"/>
        <w:jc w:val="both"/>
      </w:pPr>
      <w:r>
        <w:rPr>
          <w:rFonts w:ascii="Arial" w:cs="Arial" w:eastAsia="Arial" w:hAnsi="Arial"/>
          <w:sz w:val="24"/>
          <w:szCs w:val="24"/>
        </w:rPr>
        <w:t xml:space="preserve">абзац второй изложить в следующей редакции:</w:t>
      </w:r>
    </w:p>
    <w:p>
      <w:pPr>
        <w:spacing w:after="120"/>
        <w:ind w:firstLine="567"/>
        <w:jc w:val="both"/>
      </w:pPr>
      <w:r>
        <w:rPr>
          <w:rFonts w:ascii="Arial" w:cs="Arial" w:eastAsia="Arial" w:hAnsi="Arial"/>
          <w:sz w:val="24"/>
          <w:szCs w:val="24"/>
        </w:rPr>
        <w:t xml:space="preserve">"Использование в рекламе сведений об эффективности (доходности) деятельности, связанной с использованием виртуальных активов, или самих виртуальных активов допускается при наличии у оператора обмена виртуальных активов соответствующих данных финансовой отчетности за последний завершенный финансовый год, достоверность которых подтверждена аудиторской организацией.";</w:t>
      </w:r>
    </w:p>
    <w:p>
      <w:pPr>
        <w:spacing w:after="120"/>
        <w:ind w:firstLine="567"/>
        <w:jc w:val="both"/>
      </w:pPr>
      <w:r>
        <w:rPr>
          <w:rFonts w:ascii="Arial" w:cs="Arial" w:eastAsia="Arial" w:hAnsi="Arial"/>
          <w:sz w:val="24"/>
          <w:szCs w:val="24"/>
        </w:rPr>
        <w:t xml:space="preserve">дополнить абзацем третьим следующего содержания:</w:t>
      </w:r>
    </w:p>
    <w:p>
      <w:pPr>
        <w:spacing w:after="120"/>
        <w:ind w:firstLine="567"/>
        <w:jc w:val="both"/>
      </w:pPr>
      <w:r>
        <w:rPr>
          <w:rFonts w:ascii="Arial" w:cs="Arial" w:eastAsia="Arial" w:hAnsi="Arial"/>
          <w:sz w:val="24"/>
          <w:szCs w:val="24"/>
        </w:rPr>
        <w:t xml:space="preserve">"В рекламе запрещается использовать:";</w:t>
      </w:r>
    </w:p>
    <w:p>
      <w:pPr>
        <w:spacing w:after="120"/>
        <w:ind w:firstLine="567"/>
        <w:jc w:val="both"/>
      </w:pPr>
      <w:r>
        <w:rPr>
          <w:rFonts w:ascii="Arial" w:cs="Arial" w:eastAsia="Arial" w:hAnsi="Arial"/>
          <w:sz w:val="24"/>
          <w:szCs w:val="24"/>
        </w:rPr>
        <w:t xml:space="preserve">- пункт 21 изложить в следующей редакции:</w:t>
      </w:r>
    </w:p>
    <w:p>
      <w:pPr>
        <w:spacing w:after="120"/>
        <w:ind w:firstLine="567"/>
        <w:jc w:val="both"/>
      </w:pPr>
      <w:r>
        <w:rPr>
          <w:rFonts w:ascii="Arial" w:cs="Arial" w:eastAsia="Arial" w:hAnsi="Arial"/>
          <w:sz w:val="24"/>
          <w:szCs w:val="24"/>
        </w:rPr>
        <w:t xml:space="preserve">"21. Сделки с виртуальными активами совершаются оператором обмена виртуальных активов от собственного имени и в своих интересах с использованием специализированной платформы (информационных систем и (или) программно-технических комплексов, работающих в режиме самообслуживания). Операционные требования к специализированной платформе оператора обмена виртуальных активов утверждаются приказом уполномоченного органа.</w:t>
      </w:r>
    </w:p>
    <w:p>
      <w:pPr>
        <w:spacing w:after="120"/>
        <w:ind w:firstLine="567"/>
        <w:jc w:val="both"/>
      </w:pPr>
      <w:r>
        <w:rPr>
          <w:rFonts w:ascii="Arial" w:cs="Arial" w:eastAsia="Arial" w:hAnsi="Arial"/>
          <w:sz w:val="24"/>
          <w:szCs w:val="24"/>
        </w:rPr>
        <w:t xml:space="preserve">Для совершения сделки с виртуальными активами оператор обмена виртуальных активов получает от клиентов заявки на покупку и/или продажу виртуальных активов за денежные средства или электронные деньги либо обмен виртуальных активов одного вида на виртуальные активы другого вида, которые в том числе могут являться офертами.</w:t>
      </w:r>
    </w:p>
    <w:p>
      <w:pPr>
        <w:spacing w:after="120"/>
        <w:ind w:firstLine="567"/>
        <w:jc w:val="both"/>
      </w:pPr>
      <w:r>
        <w:rPr>
          <w:rFonts w:ascii="Arial" w:cs="Arial" w:eastAsia="Arial" w:hAnsi="Arial"/>
          <w:sz w:val="24"/>
          <w:szCs w:val="24"/>
        </w:rPr>
        <w:t xml:space="preserve">Требования к содержанию заявок должны соответствовать законодательству Кыргызской Республики и определяются внутренними документами оператора обмена виртуальных активов, в которых должны быть четко определены условия их принятия, исполнения и расчетов. При наличии возможности исполнить заявку, отвечающую указанным требованиям, оператор обмена виртуальных активов обязан принять ее и исполнить.</w:t>
      </w:r>
    </w:p>
    <w:p>
      <w:pPr>
        <w:spacing w:after="120"/>
        <w:ind w:firstLine="567"/>
        <w:jc w:val="both"/>
      </w:pPr>
      <w:r>
        <w:rPr>
          <w:rFonts w:ascii="Arial" w:cs="Arial" w:eastAsia="Arial" w:hAnsi="Arial"/>
          <w:sz w:val="24"/>
          <w:szCs w:val="24"/>
        </w:rPr>
        <w:t xml:space="preserve">Исполнение заявки должно производиться оператором обмена виртуальных активов после ее получения и по той цене, которая была сообщена клиенту в день направления клиентом соответствующей заявки и согласно договорным отношениям с клиентом. Оператор обмена виртуальных активов обязан обеспечить фиксацию времени наступления данного момента с точностью до минут и отправление клиенту электронного уведомления и/или документа, предусматривающего фиксацию даты, времени, курса покупки, продажи и/или обмена виртуального актива, суммы и объема сделки.";</w:t>
      </w:r>
    </w:p>
    <w:p>
      <w:pPr>
        <w:spacing w:after="120"/>
        <w:ind w:firstLine="567"/>
        <w:jc w:val="both"/>
      </w:pPr>
      <w:r>
        <w:rPr>
          <w:rFonts w:ascii="Arial" w:cs="Arial" w:eastAsia="Arial" w:hAnsi="Arial"/>
          <w:sz w:val="24"/>
          <w:szCs w:val="24"/>
        </w:rPr>
        <w:t xml:space="preserve">- пункт 23 после слов "электронное сообщение" дополнить словами "или иной подтверждающий документ";</w:t>
      </w:r>
    </w:p>
    <w:p>
      <w:pPr>
        <w:spacing w:after="120"/>
        <w:ind w:firstLine="567"/>
        <w:jc w:val="both"/>
      </w:pPr>
      <w:r>
        <w:rPr>
          <w:rFonts w:ascii="Arial" w:cs="Arial" w:eastAsia="Arial" w:hAnsi="Arial"/>
          <w:sz w:val="24"/>
          <w:szCs w:val="24"/>
        </w:rPr>
        <w:t xml:space="preserve">- пункт 24 дополнить абзацами следующего содержания:</w:t>
      </w:r>
    </w:p>
    <w:p>
      <w:pPr>
        <w:spacing w:after="120"/>
        <w:ind w:firstLine="567"/>
        <w:jc w:val="both"/>
      </w:pPr>
      <w:r>
        <w:rPr>
          <w:rFonts w:ascii="Arial" w:cs="Arial" w:eastAsia="Arial" w:hAnsi="Arial"/>
          <w:sz w:val="24"/>
          <w:szCs w:val="24"/>
        </w:rPr>
        <w:t xml:space="preserve">"Операторам обмена виртуальных активов запрещается:</w:t>
      </w:r>
    </w:p>
    <w:p>
      <w:pPr>
        <w:spacing w:after="120"/>
        <w:ind w:firstLine="567"/>
        <w:jc w:val="both"/>
      </w:pPr>
      <w:r>
        <w:rPr>
          <w:rFonts w:ascii="Arial" w:cs="Arial" w:eastAsia="Arial" w:hAnsi="Arial"/>
          <w:sz w:val="24"/>
          <w:szCs w:val="24"/>
        </w:rPr>
        <w:t xml:space="preserve">- использовать в деятельности кошельки виртуальных активов повышенной конфиденциальности (Private Wallets), если обладатели/держатели таких кошельков не были идентифицированы надлежащим образом;</w:t>
      </w:r>
    </w:p>
    <w:p>
      <w:pPr>
        <w:spacing w:after="120"/>
        <w:ind w:firstLine="567"/>
        <w:jc w:val="both"/>
      </w:pPr>
      <w:r>
        <w:rPr>
          <w:rFonts w:ascii="Arial" w:cs="Arial" w:eastAsia="Arial" w:hAnsi="Arial"/>
          <w:sz w:val="24"/>
          <w:szCs w:val="24"/>
        </w:rPr>
        <w:t xml:space="preserve">- использовать в деятельности виртуальные активы с повышенной конфиденциальностью (Private Coins) и токены с уникальными характеристиками (NFT);</w:t>
      </w:r>
    </w:p>
    <w:p>
      <w:pPr>
        <w:spacing w:after="120"/>
        <w:ind w:firstLine="567"/>
        <w:jc w:val="both"/>
      </w:pPr>
      <w:r>
        <w:rPr>
          <w:rFonts w:ascii="Arial" w:cs="Arial" w:eastAsia="Arial" w:hAnsi="Arial"/>
          <w:sz w:val="24"/>
          <w:szCs w:val="24"/>
        </w:rPr>
        <w:t xml:space="preserve">- использовать в деятельности предоплаченные карты, выпущенные зарубежными финансовыми учреждениями;</w:t>
      </w:r>
    </w:p>
    <w:p>
      <w:pPr>
        <w:spacing w:after="120"/>
        <w:ind w:firstLine="567"/>
        <w:jc w:val="both"/>
      </w:pPr>
      <w:r>
        <w:rPr>
          <w:rFonts w:ascii="Arial" w:cs="Arial" w:eastAsia="Arial" w:hAnsi="Arial"/>
          <w:sz w:val="24"/>
          <w:szCs w:val="24"/>
        </w:rPr>
        <w:t xml:space="preserve">- переводить виртуальные активы на адреса онлайн-казино;</w:t>
      </w:r>
    </w:p>
    <w:p>
      <w:pPr>
        <w:spacing w:after="120"/>
        <w:ind w:firstLine="567"/>
        <w:jc w:val="both"/>
      </w:pPr>
      <w:r>
        <w:rPr>
          <w:rFonts w:ascii="Arial" w:cs="Arial" w:eastAsia="Arial" w:hAnsi="Arial"/>
          <w:sz w:val="24"/>
          <w:szCs w:val="24"/>
        </w:rPr>
        <w:t xml:space="preserve">- переводить виртуальные активы на децентрализованные системы (DeFi, DEX), если обладатели/держатели кошельков на таких системах/платформах не были идентифицированы надлежащим образом.</w:t>
      </w:r>
    </w:p>
    <w:p>
      <w:pPr>
        <w:spacing w:after="120"/>
        <w:ind w:firstLine="567"/>
        <w:jc w:val="both"/>
      </w:pPr>
      <w:r>
        <w:rPr>
          <w:rFonts w:ascii="Arial" w:cs="Arial" w:eastAsia="Arial" w:hAnsi="Arial"/>
          <w:sz w:val="24"/>
          <w:szCs w:val="24"/>
        </w:rPr>
        <w:t xml:space="preserve">Списки виртуальных активов, запрещенных к использованию, определяются уполномоченным органом и опубликовываются на интернет-сайте уполномоченного органа. Исключения могут быть одобрены отдельным оператором обмена виртуальных активов по запросу последнего и при условии предоставления детального процесса идентификации держателей таких виртуальных активов и системы контроля/мониторинга операций, связанных с такими виртуальными активами.";</w:t>
      </w:r>
    </w:p>
    <w:p>
      <w:pPr>
        <w:spacing w:after="120"/>
        <w:ind w:firstLine="567"/>
        <w:jc w:val="both"/>
      </w:pPr>
      <w:r>
        <w:rPr>
          <w:rFonts w:ascii="Arial" w:cs="Arial" w:eastAsia="Arial" w:hAnsi="Arial"/>
          <w:sz w:val="24"/>
          <w:szCs w:val="24"/>
        </w:rPr>
        <w:t xml:space="preserve">- пункт 25 дополнить абзацем следующего содержания:</w:t>
      </w:r>
    </w:p>
    <w:p>
      <w:pPr>
        <w:spacing w:after="120"/>
        <w:ind w:firstLine="567"/>
        <w:jc w:val="both"/>
      </w:pPr>
      <w:r>
        <w:rPr>
          <w:rFonts w:ascii="Arial" w:cs="Arial" w:eastAsia="Arial" w:hAnsi="Arial"/>
          <w:sz w:val="24"/>
          <w:szCs w:val="24"/>
        </w:rPr>
        <w:t xml:space="preserve">"При оказании услуг по покупке и продаже виртуальных активов операторы обмена виртуальных активов могут использовать только безналичный расчет.";</w:t>
      </w:r>
    </w:p>
    <w:p>
      <w:pPr>
        <w:spacing w:after="120"/>
        <w:ind w:firstLine="567"/>
        <w:jc w:val="both"/>
      </w:pPr>
      <w:r>
        <w:rPr>
          <w:rFonts w:ascii="Arial" w:cs="Arial" w:eastAsia="Arial" w:hAnsi="Arial"/>
          <w:sz w:val="24"/>
          <w:szCs w:val="24"/>
        </w:rPr>
        <w:t xml:space="preserve">- абзац второй пункта 26 изложить в следующей редакции:</w:t>
      </w:r>
    </w:p>
    <w:p>
      <w:pPr>
        <w:spacing w:after="120"/>
        <w:ind w:firstLine="567"/>
        <w:jc w:val="both"/>
      </w:pPr>
      <w:r>
        <w:rPr>
          <w:rFonts w:ascii="Arial" w:cs="Arial" w:eastAsia="Arial" w:hAnsi="Arial"/>
          <w:sz w:val="24"/>
          <w:szCs w:val="24"/>
        </w:rPr>
        <w:t xml:space="preserve">"В случае если сторонами будет согласовано, что выполнение оператором обмена виртуальных активов своей обязанности передать клиенту денежные средства, электронные деньги или виртуальные активы производится только после выполнения клиентом своей обязанности передать оператору обмена виртуальных активов денежные средства, электронные деньги или виртуальные активы (в зависимости от вида совершенной сделки с виртуальными активами), оператор обмена виртуальных активов обязан обеспечить возможность идентификации назначения полученных им от клиента денежных средств, электронных денег или виртуальных активов клиента (то есть возможность однозначного определения заявки, в рамках которой клиент передал оператору обмена виртуальных активов данные денежные средства, электронные деньги или виртуальные активы).";</w:t>
      </w:r>
    </w:p>
    <w:p>
      <w:pPr>
        <w:spacing w:after="120"/>
        <w:ind w:firstLine="567"/>
        <w:jc w:val="both"/>
      </w:pPr>
      <w:r>
        <w:rPr>
          <w:rFonts w:ascii="Arial" w:cs="Arial" w:eastAsia="Arial" w:hAnsi="Arial"/>
          <w:sz w:val="24"/>
          <w:szCs w:val="24"/>
        </w:rPr>
        <w:t xml:space="preserve">- пункт 27 дополнить абзацами следующего содержания:</w:t>
      </w:r>
    </w:p>
    <w:p>
      <w:pPr>
        <w:spacing w:after="120"/>
        <w:ind w:firstLine="567"/>
        <w:jc w:val="both"/>
      </w:pPr>
      <w:r>
        <w:rPr>
          <w:rFonts w:ascii="Arial" w:cs="Arial" w:eastAsia="Arial" w:hAnsi="Arial"/>
          <w:sz w:val="24"/>
          <w:szCs w:val="24"/>
        </w:rPr>
        <w:t xml:space="preserve">"Физическим и юридическим лицам - резидентам Кыргызской Республики, запрещается проведение операций с виртуальными активами через нелицензированных операторов обмена виртуальных активов.</w:t>
      </w:r>
    </w:p>
    <w:p>
      <w:pPr>
        <w:spacing w:after="120"/>
        <w:ind w:firstLine="567"/>
        <w:jc w:val="both"/>
      </w:pPr>
      <w:r>
        <w:rPr>
          <w:rFonts w:ascii="Arial" w:cs="Arial" w:eastAsia="Arial" w:hAnsi="Arial"/>
          <w:sz w:val="24"/>
          <w:szCs w:val="24"/>
        </w:rPr>
        <w:t xml:space="preserve">Операторам обмена виртуальных активов разрешается использовать крипто-банкоматы (автоматизированные системы обмена фиатных средств и виртуальных активов) в своей деятельности.</w:t>
      </w:r>
    </w:p>
    <w:p>
      <w:pPr>
        <w:spacing w:after="120"/>
        <w:ind w:firstLine="567"/>
        <w:jc w:val="both"/>
      </w:pPr>
      <w:r>
        <w:rPr>
          <w:rFonts w:ascii="Arial" w:cs="Arial" w:eastAsia="Arial" w:hAnsi="Arial"/>
          <w:sz w:val="24"/>
          <w:szCs w:val="24"/>
        </w:rPr>
        <w:t xml:space="preserve">Крипто-банкоматами могут пользоваться только идентифицированные пользователи. Идентификация пользователей осуществляется в соответствии с требованиями законодательства в сфере противодействия финансированию террористической деятельности и легализации (отмыванию) преступных доходов и в сфере оборота виртуальных активов, а также внутренними процедурами оператора обмена виртуальных активов.</w:t>
      </w:r>
    </w:p>
    <w:p>
      <w:pPr>
        <w:spacing w:after="120"/>
        <w:ind w:firstLine="567"/>
        <w:jc w:val="both"/>
      </w:pPr>
      <w:r>
        <w:rPr>
          <w:rFonts w:ascii="Arial" w:cs="Arial" w:eastAsia="Arial" w:hAnsi="Arial"/>
          <w:sz w:val="24"/>
          <w:szCs w:val="24"/>
        </w:rPr>
        <w:t xml:space="preserve">Оператор обмена виртуальных активов обязан обеспечивать защиту и конфиденциальность данных, полученных в процессе идентификации пользователей, в соответствии с требованиями законодательства о защите персональных данных.</w:t>
      </w:r>
    </w:p>
    <w:p>
      <w:pPr>
        <w:spacing w:after="120"/>
        <w:ind w:firstLine="567"/>
        <w:jc w:val="both"/>
      </w:pPr>
      <w:r>
        <w:rPr>
          <w:rFonts w:ascii="Arial" w:cs="Arial" w:eastAsia="Arial" w:hAnsi="Arial"/>
          <w:sz w:val="24"/>
          <w:szCs w:val="24"/>
        </w:rPr>
        <w:t xml:space="preserve">Операторы обмена виртуальных активов обязаны предусмотреть меры технической и организационной защиты, предотвращающей возможность несанкционированного доступа к крипто-банкоматам и их использование неопознанными лицами.";</w:t>
      </w:r>
    </w:p>
    <w:p>
      <w:pPr>
        <w:spacing w:after="120"/>
        <w:ind w:firstLine="567"/>
        <w:jc w:val="both"/>
      </w:pPr>
      <w:r>
        <w:rPr>
          <w:rFonts w:ascii="Arial" w:cs="Arial" w:eastAsia="Arial" w:hAnsi="Arial"/>
          <w:sz w:val="24"/>
          <w:szCs w:val="24"/>
        </w:rPr>
        <w:t xml:space="preserve">- в пункте 28 цифры "400000" заменить цифрами "1000000";</w:t>
      </w:r>
    </w:p>
    <w:p>
      <w:pPr>
        <w:spacing w:after="120"/>
        <w:ind w:firstLine="567"/>
        <w:jc w:val="both"/>
      </w:pPr>
      <w:r>
        <w:rPr>
          <w:rFonts w:ascii="Arial" w:cs="Arial" w:eastAsia="Arial" w:hAnsi="Arial"/>
          <w:sz w:val="24"/>
          <w:szCs w:val="24"/>
        </w:rPr>
        <w:t xml:space="preserve">- пункт 31 изложить в следующей редакции:</w:t>
      </w:r>
    </w:p>
    <w:p>
      <w:pPr>
        <w:spacing w:after="120"/>
        <w:ind w:firstLine="567"/>
        <w:jc w:val="both"/>
      </w:pPr>
      <w:r>
        <w:rPr>
          <w:rFonts w:ascii="Arial" w:cs="Arial" w:eastAsia="Arial" w:hAnsi="Arial"/>
          <w:sz w:val="24"/>
          <w:szCs w:val="24"/>
        </w:rPr>
        <w:t xml:space="preserve">"31. Для получения лицензии на ведение деятельности в качестве поставщика услуг виртуальных активов, осуществляемой оператором обмена виртуальных активов, юридическое лицо представляет в уполномоченный орган следующие документы/сведения в одном экземпляре на государственном или официальном языке:</w:t>
      </w:r>
    </w:p>
    <w:p>
      <w:pPr>
        <w:spacing w:after="120"/>
        <w:ind w:firstLine="567"/>
        <w:jc w:val="both"/>
      </w:pPr>
      <w:r>
        <w:rPr>
          <w:rFonts w:ascii="Arial" w:cs="Arial" w:eastAsia="Arial" w:hAnsi="Arial"/>
          <w:sz w:val="24"/>
          <w:szCs w:val="24"/>
        </w:rPr>
        <w:t xml:space="preserve">1) заявление о выдаче лицензии с указанием наименования и организационно-правовой формы юридического лица, его местонахождения (почтового адреса), адреса электронной почты, наименования учреждения банка и номера депозитного и/или расчетного счета в учреждении банка;</w:t>
      </w:r>
    </w:p>
    <w:p>
      <w:pPr>
        <w:spacing w:after="120"/>
        <w:ind w:firstLine="567"/>
        <w:jc w:val="both"/>
      </w:pPr>
      <w:r>
        <w:rPr>
          <w:rFonts w:ascii="Arial" w:cs="Arial" w:eastAsia="Arial" w:hAnsi="Arial"/>
          <w:sz w:val="24"/>
          <w:szCs w:val="24"/>
        </w:rPr>
        <w:t xml:space="preserve">2) копии учредительных документов юридического лица, заверенные нотариально (устава и учредительного договора (при наличии более одного учредителя); решений о создании юридического лица, о размере уставного капитала, об избрании совета директоров (при наличии) и исполнительных органов управления);</w:t>
      </w:r>
    </w:p>
    <w:p>
      <w:pPr>
        <w:spacing w:after="120"/>
        <w:ind w:firstLine="567"/>
        <w:jc w:val="both"/>
      </w:pPr>
      <w:r>
        <w:rPr>
          <w:rFonts w:ascii="Arial" w:cs="Arial" w:eastAsia="Arial" w:hAnsi="Arial"/>
          <w:sz w:val="24"/>
          <w:szCs w:val="24"/>
        </w:rPr>
        <w:t xml:space="preserve">3) документы/сведения по участникам/акционерам/учредителям - физическим лицам и бенефициарным владельцам юридического лица (схематическое изображение структуры собственности юридического лица, которое позволяет установить конечных бенефициарных владельцев юридического лица; информация о владельцах пяти и более процентов акций/долей в капитале юридического лица, содержащая идентификационные данные таких лиц, количество и процент акций/долей в капитале, которыми обладает каждый такой участник/акционер/учредитель;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w:t>
      </w:r>
    </w:p>
    <w:p>
      <w:pPr>
        <w:spacing w:after="120"/>
        <w:ind w:firstLine="567"/>
        <w:jc w:val="both"/>
      </w:pPr>
      <w:r>
        <w:rPr>
          <w:rFonts w:ascii="Arial" w:cs="Arial" w:eastAsia="Arial" w:hAnsi="Arial"/>
          <w:sz w:val="24"/>
          <w:szCs w:val="24"/>
        </w:rPr>
        <w:t xml:space="preserve">4) документы должностных лиц юридического лица (копия паспорта (копия ID-паспорта для резидента, для нерезидента - копия паспорта гражданина иностранного государства); справка об отсутствии задолженности по уплате налогов и/или копия декларации о доходах, социальных отчислениях на дату подачи документов в форме, предусмотренной законодательством Кыргызской Республики в области налогообложения (для физического лица - нерезидента необходимо предоставить аналогичные документы в соответствии с законодательством страны происхождения); справка об отсутствии судимости; актуальную биографию с указанием образования, полученных дипломов, соответствующих курсов профессиональной подготовки, которые он/она прошел/прошла, профессионального опыта, включая, в частности, названия всех организаций, в которых он/она работал/работала, характер и продолжительность занимаемых должностей, деловой репутации);</w:t>
      </w:r>
    </w:p>
    <w:p>
      <w:pPr>
        <w:spacing w:after="120"/>
        <w:ind w:firstLine="567"/>
        <w:jc w:val="both"/>
      </w:pPr>
      <w:r>
        <w:rPr>
          <w:rFonts w:ascii="Arial" w:cs="Arial" w:eastAsia="Arial" w:hAnsi="Arial"/>
          <w:sz w:val="24"/>
          <w:szCs w:val="24"/>
        </w:rPr>
        <w:t xml:space="preserve">5) заполненные и подписанные участниками/акционерами/учредителями, должностными лицами и бенефициарными владельцами юридического лица анкеты по форме согласно приложениям </w:t>
      </w:r>
      <w:r>
        <w:rPr>
          <w:rFonts w:ascii="Arial" w:cs="Arial" w:eastAsia="Arial" w:hAnsi="Arial"/>
          <w:sz w:val="24"/>
          <w:szCs w:val="24"/>
        </w:rPr>
        <w:t xml:space="preserve">1 </w:t>
      </w:r>
      <w:r>
        <w:rPr>
          <w:rFonts w:ascii="Arial" w:cs="Arial" w:eastAsia="Arial" w:hAnsi="Arial"/>
          <w:sz w:val="24"/>
          <w:szCs w:val="24"/>
        </w:rPr>
        <w:t xml:space="preserve">и </w:t>
      </w:r>
      <w:r>
        <w:rPr>
          <w:rFonts w:ascii="Arial" w:cs="Arial" w:eastAsia="Arial" w:hAnsi="Arial"/>
          <w:sz w:val="24"/>
          <w:szCs w:val="24"/>
        </w:rPr>
        <w:t xml:space="preserve">2 </w:t>
      </w:r>
      <w:r>
        <w:rPr>
          <w:rFonts w:ascii="Arial" w:cs="Arial" w:eastAsia="Arial" w:hAnsi="Arial"/>
          <w:sz w:val="24"/>
          <w:szCs w:val="24"/>
        </w:rPr>
        <w:t xml:space="preserve">к настоящему Положению либо сканированные копии заполненных анкет с последующим предоставлением оригинала;</w:t>
      </w:r>
    </w:p>
    <w:p>
      <w:pPr>
        <w:spacing w:after="120"/>
        <w:ind w:firstLine="567"/>
        <w:jc w:val="both"/>
      </w:pPr>
      <w:r>
        <w:rPr>
          <w:rFonts w:ascii="Arial" w:cs="Arial" w:eastAsia="Arial" w:hAnsi="Arial"/>
          <w:sz w:val="24"/>
          <w:szCs w:val="24"/>
        </w:rPr>
        <w:t xml:space="preserve">6) копии внутренних документов/политик/процедур юридического лица, связанных с корпоративным управлением и менеджментом (документы должны быть прошиты, пронумерованы, заверены печатью и подписью руководителя юридического лица), описывающие политику внутреннего управления; политику внутреннего контроля; организационную/функциональную схему; политику управления рисками; общую матрицу рисков; реестр внутренних политик/процедур; порядок действий при возникновении нештатных ситуаций; руководство и материалы по обучению; порядок движения денежных средств, проходящих через агентов; 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 причастных к террористической и экстремистской деятельности или распространению оружия массового уничтожения; правила оператора обмена виртуальных активов;</w:t>
      </w:r>
    </w:p>
    <w:p>
      <w:pPr>
        <w:spacing w:after="120"/>
        <w:ind w:firstLine="567"/>
        <w:jc w:val="both"/>
      </w:pPr>
      <w:r>
        <w:rPr>
          <w:rFonts w:ascii="Arial" w:cs="Arial" w:eastAsia="Arial" w:hAnsi="Arial"/>
          <w:sz w:val="24"/>
          <w:szCs w:val="24"/>
        </w:rPr>
        <w:t xml:space="preserve">7) документы/сведения, связанные с финансовыми вопросами юридического лица (программа/план операционных действий; бизнес-план (технико-экономическое обоснование), содержащие как минимум определение целей при оказании услуг, связанных с виртуальными активами, прогнозные расчеты экономических результатов, ожидаемых от оказания данных услуг как минимум на 3 (три) года; блок-схему для каждой услуги, предоставляемой юридическим лицом (схема, визуализирующая последовательность шагов/процессов, которые происходят при предоставлении конкретной услуги клиентам/пользователям); политика и план обеспечения непрерывности деятельности; копия договора на открытие расчетного счета в банке для хранения и использования денежных средств от клиентов и от своих агентов за оказание услуг, связанных с виртуальными активами, а также отдельного счета для хозяйственной деятельности юридического лица; документ, подтверждающий внесение денежных средств в качестве уставного капитала согласно настоящему Положению; финансовая отчетность на последнюю отчетную дату, переданная в налоговые органы, заверенная печатью и подписью руководителя юридического лица);</w:t>
      </w:r>
    </w:p>
    <w:p>
      <w:pPr>
        <w:spacing w:after="120"/>
        <w:ind w:firstLine="567"/>
        <w:jc w:val="both"/>
      </w:pPr>
      <w:r>
        <w:rPr>
          <w:rFonts w:ascii="Arial" w:cs="Arial" w:eastAsia="Arial" w:hAnsi="Arial"/>
          <w:sz w:val="24"/>
          <w:szCs w:val="24"/>
        </w:rPr>
        <w:t xml:space="preserve">8) сведения/документы о ресурсах юридического лица (описание кадровых и технических ресурсов, выделенных на запланированную деятельность; кадровый и технический прогноз по каждому виду деятельности; акт установки и введения в промышленную эксплуатацию платформы, размещенной на серверах, один из которых (основной сервер) должен находиться на территории Кыргызской Республики, а другой (запасной сервер) в целях защиты программного обеспечения и защиты от кибератак - на территории иностранного государства);</w:t>
      </w:r>
    </w:p>
    <w:p>
      <w:pPr>
        <w:spacing w:after="120"/>
        <w:ind w:firstLine="567"/>
        <w:jc w:val="both"/>
      </w:pPr>
      <w:r>
        <w:rPr>
          <w:rFonts w:ascii="Arial" w:cs="Arial" w:eastAsia="Arial" w:hAnsi="Arial"/>
          <w:sz w:val="24"/>
          <w:szCs w:val="24"/>
        </w:rPr>
        <w:t xml:space="preserve">9) документы/сведения по системе противодействия финансированию террористической деятельности и легализации (отмыванию) преступных доходов юридического лица (руководство по противодействию финансированию террористической деятельности и легализации (отмыванию) преступных доходов; процедуры должной осмотрительности, идентификации и верификации клиентов; политика принятия клиентов в рамках противодействия финансированию террористической деятельности и легализации (отмыванию) преступных доходов; процедуры мониторинга клиентов и транзакций в рамках противодействия финансированию террористической деятельности и легализации (отмыванию) преступных доходов; руководство по обучению в области противодействия финансированию террористической деятельности и легализации (отмыванию) преступных доходов; соглашения с поставщиками услуг в области противодействия финансированию террористической деятельности и легализации (отмыванию) преступных доходов; матрица рисков финансирования террористической деятельности и легализации (отмыванию) преступных доходов; функциональные возможности инструментов для оценки рисков, связанных с финансированием террористической деятельности и легализацией (отмыванием) преступных доходов; сценарии противодействия финансированию террористической деятельности и легализации (отмыванию) преступных доходов, реализованные в инструментах; объем предупреждений о противодействии финансированию террористической деятельности и легализации (отмыванию) преступных доходов и количество клиентов, классифицированных по уровню рисков);</w:t>
      </w:r>
    </w:p>
    <w:p>
      <w:pPr>
        <w:spacing w:after="120"/>
        <w:ind w:firstLine="567"/>
        <w:jc w:val="both"/>
      </w:pPr>
      <w:r>
        <w:rPr>
          <w:rFonts w:ascii="Arial" w:cs="Arial" w:eastAsia="Arial" w:hAnsi="Arial"/>
          <w:sz w:val="24"/>
          <w:szCs w:val="24"/>
        </w:rPr>
        <w:t xml:space="preserve">10) документы по кибербезопасности и политике информационных технологий юридического лица (процедуры, регламентирующие порядок обеспечения информационной безопасности (кибербезопасности), - описание организации безопасности; политика обработки данных (внутренняя и внешняя); политика кибербезопасности; процедуры оценки и регистрации киберрисков; процедуры управления ключами криптокошельков; порядок обработки персональных данных клиентов);</w:t>
      </w:r>
    </w:p>
    <w:p>
      <w:pPr>
        <w:spacing w:after="120"/>
        <w:ind w:firstLine="567"/>
        <w:jc w:val="both"/>
      </w:pPr>
      <w:r>
        <w:rPr>
          <w:rFonts w:ascii="Arial" w:cs="Arial" w:eastAsia="Arial" w:hAnsi="Arial"/>
          <w:sz w:val="24"/>
          <w:szCs w:val="24"/>
        </w:rPr>
        <w:t xml:space="preserve">11) сведения/документы по документации клиентов юридического лица (общие положения и условия; порядок проведения претензионной работы; политика защиты прав клиентов/инвесторов; ценовая политика для клиентов; порядок возврата денежных средств клиентам);</w:t>
      </w:r>
    </w:p>
    <w:p>
      <w:pPr>
        <w:spacing w:after="120"/>
        <w:ind w:firstLine="567"/>
        <w:jc w:val="both"/>
      </w:pPr>
      <w:r>
        <w:rPr>
          <w:rFonts w:ascii="Arial" w:cs="Arial" w:eastAsia="Arial" w:hAnsi="Arial"/>
          <w:sz w:val="24"/>
          <w:szCs w:val="24"/>
        </w:rPr>
        <w:t xml:space="preserve">12) доверенность за подписью руководителя или иного уполномоченного лица в соответствии с учредительными документами, с оттиском печати, выданная представителю на получение лицензии в случае, если от имени юридического лица действует представитель по доверенности;</w:t>
      </w:r>
    </w:p>
    <w:p>
      <w:pPr>
        <w:spacing w:after="120"/>
        <w:ind w:firstLine="567"/>
        <w:jc w:val="both"/>
      </w:pPr>
      <w:r>
        <w:rPr>
          <w:rFonts w:ascii="Arial" w:cs="Arial" w:eastAsia="Arial" w:hAnsi="Arial"/>
          <w:sz w:val="24"/>
          <w:szCs w:val="24"/>
        </w:rPr>
        <w:t xml:space="preserve">13) данные о деловой репутации юридического лица;</w:t>
      </w:r>
    </w:p>
    <w:p>
      <w:pPr>
        <w:spacing w:after="120"/>
        <w:ind w:firstLine="567"/>
        <w:jc w:val="both"/>
      </w:pPr>
      <w:r>
        <w:rPr>
          <w:rFonts w:ascii="Arial" w:cs="Arial" w:eastAsia="Arial" w:hAnsi="Arial"/>
          <w:sz w:val="24"/>
          <w:szCs w:val="24"/>
        </w:rPr>
        <w:t xml:space="preserve">14) документ, подтверждающий оплату государственной пошлины за лицензию.</w:t>
      </w:r>
    </w:p>
    <w:p>
      <w:pPr>
        <w:spacing w:after="120"/>
        <w:ind w:firstLine="567"/>
        <w:jc w:val="both"/>
      </w:pPr>
      <w:r>
        <w:rPr>
          <w:rFonts w:ascii="Arial" w:cs="Arial" w:eastAsia="Arial" w:hAnsi="Arial"/>
          <w:sz w:val="24"/>
          <w:szCs w:val="24"/>
        </w:rPr>
        <w:t xml:space="preserve">Все документы должны быть подписаны руководителем, а в случае предоставления в виде электронного документа подтверждаются цифровой подписью.</w:t>
      </w:r>
    </w:p>
    <w:p>
      <w:pPr>
        <w:spacing w:after="120"/>
        <w:ind w:firstLine="567"/>
        <w:jc w:val="both"/>
      </w:pPr>
      <w:r>
        <w:rPr>
          <w:rFonts w:ascii="Arial" w:cs="Arial" w:eastAsia="Arial" w:hAnsi="Arial"/>
          <w:sz w:val="24"/>
          <w:szCs w:val="24"/>
        </w:rPr>
        <w:t xml:space="preserve">Операторы обмена виртуальных активов несут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8</w:t>
      </w:r>
      <w:r>
        <w:rPr>
          <w:rFonts w:ascii="Arial" w:cs="Arial" w:eastAsia="Arial" w:hAnsi="Arial"/>
          <w:sz w:val="24"/>
          <w:szCs w:val="24"/>
        </w:rPr>
        <w:t xml:space="preserve"> дополнить пунктом 35-1 следующего содержания:</w:t>
      </w:r>
    </w:p>
    <w:p>
      <w:pPr>
        <w:spacing w:after="120"/>
        <w:ind w:firstLine="567"/>
        <w:jc w:val="both"/>
      </w:pPr>
      <w:r>
        <w:rPr>
          <w:rFonts w:ascii="Arial" w:cs="Arial" w:eastAsia="Arial" w:hAnsi="Arial"/>
          <w:sz w:val="24"/>
          <w:szCs w:val="24"/>
        </w:rPr>
        <w:t xml:space="preserve">"35-1. Операторы обмена виртуальных активов обязаны уведомлять уполномоченный орган об изменениях данных, указанных в документах, прилагаемых к заявлению на выдачу лицензии, не являющихся основанием для перерегистрации лицензии. Уведомление предоставляется в письменной форме не позднее 10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Реестр операторов обмена виртуальных активов в течение 3 (три) рабочих дней с даты поступления уведомления.";</w:t>
      </w:r>
    </w:p>
    <w:p>
      <w:pPr>
        <w:spacing w:after="120"/>
        <w:ind w:firstLine="567"/>
        <w:jc w:val="both"/>
      </w:pPr>
      <w:r>
        <w:rPr>
          <w:rFonts w:ascii="Arial" w:cs="Arial" w:eastAsia="Arial" w:hAnsi="Arial"/>
          <w:sz w:val="24"/>
          <w:szCs w:val="24"/>
        </w:rPr>
        <w:t xml:space="preserve">- абзац первый пункта 37 после слова "ежеквартально" дополнить словами "не позднее 10 рабочих дней после даты окончания отчетного периода";</w:t>
      </w:r>
    </w:p>
    <w:p>
      <w:pPr>
        <w:spacing w:after="120"/>
        <w:ind w:firstLine="567"/>
        <w:jc w:val="both"/>
      </w:pPr>
      <w:r>
        <w:rPr>
          <w:rFonts w:ascii="Arial" w:cs="Arial" w:eastAsia="Arial" w:hAnsi="Arial"/>
          <w:sz w:val="24"/>
          <w:szCs w:val="24"/>
        </w:rPr>
        <w:t xml:space="preserve">- дополнить пунктом 38 следующего содержания:</w:t>
      </w:r>
    </w:p>
    <w:p>
      <w:pPr>
        <w:spacing w:after="120"/>
        <w:ind w:firstLine="567"/>
        <w:jc w:val="both"/>
      </w:pPr>
      <w:r>
        <w:rPr>
          <w:rFonts w:ascii="Arial" w:cs="Arial" w:eastAsia="Arial" w:hAnsi="Arial"/>
          <w:sz w:val="24"/>
          <w:szCs w:val="24"/>
        </w:rPr>
        <w:t xml:space="preserve">"38. Деятельность оператора обмена виртуальных активов подлежит ежегодной внешней аудиторской проверке согласно законодательству Кыргызской Республики в области аудиторской деятельности и международным стандартам аудита.</w:t>
      </w:r>
    </w:p>
    <w:p>
      <w:pPr>
        <w:spacing w:after="120"/>
        <w:ind w:firstLine="567"/>
        <w:jc w:val="both"/>
      </w:pPr>
      <w:r>
        <w:rPr>
          <w:rFonts w:ascii="Arial" w:cs="Arial" w:eastAsia="Arial" w:hAnsi="Arial"/>
          <w:sz w:val="24"/>
          <w:szCs w:val="24"/>
        </w:rPr>
        <w:t xml:space="preserve">Внешним аудитором оператора обмена виртуальных активов может быть только аудиторская организация, включенная в Единый государственный реестр аудиторов, аудиторских организаций и профессиональных аудиторских объединений на территории Кыргызской Республики.</w:t>
      </w:r>
    </w:p>
    <w:p>
      <w:pPr>
        <w:spacing w:after="120"/>
        <w:ind w:firstLine="567"/>
        <w:jc w:val="both"/>
      </w:pPr>
      <w:r>
        <w:rPr>
          <w:rFonts w:ascii="Arial" w:cs="Arial" w:eastAsia="Arial" w:hAnsi="Arial"/>
          <w:sz w:val="24"/>
          <w:szCs w:val="24"/>
        </w:rPr>
        <w:t xml:space="preserve">По завершении финансового года оператор обмена виртуальных активов обязан:</w:t>
      </w:r>
    </w:p>
    <w:p>
      <w:pPr>
        <w:spacing w:after="120"/>
        <w:ind w:firstLine="567"/>
        <w:jc w:val="both"/>
      </w:pPr>
      <w:r>
        <w:rPr>
          <w:rFonts w:ascii="Arial" w:cs="Arial" w:eastAsia="Arial" w:hAnsi="Arial"/>
          <w:sz w:val="24"/>
          <w:szCs w:val="24"/>
        </w:rPr>
        <w:t xml:space="preserve">- обеспечить проведение внешнего аудита оператора обмена виртуальных активов в срок не позднее девяноста дней с начала нового финансового года;</w:t>
      </w:r>
    </w:p>
    <w:p>
      <w:pPr>
        <w:spacing w:after="120"/>
        <w:ind w:firstLine="567"/>
        <w:jc w:val="both"/>
      </w:pPr>
      <w:r>
        <w:rPr>
          <w:rFonts w:ascii="Arial" w:cs="Arial" w:eastAsia="Arial" w:hAnsi="Arial"/>
          <w:sz w:val="24"/>
          <w:szCs w:val="24"/>
        </w:rPr>
        <w:t xml:space="preserve">- представить уполномоченному органу заверенную копию аудиторского заключения вместе с финансовой отчетностью и письмом аудитора к руководству оператора обмена виртуальных активов в срок не позднее ста пяти дней с начала нового финансового года.";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w:t>
      </w:r>
      <w:r>
        <w:rPr>
          <w:rFonts w:ascii="Arial" w:cs="Arial" w:eastAsia="Arial" w:hAnsi="Arial"/>
          <w:sz w:val="24"/>
          <w:szCs w:val="24"/>
        </w:rPr>
        <w:t xml:space="preserve">к вышеуказанному Положению изложить в редакции согласно </w:t>
      </w:r>
      <w:r>
        <w:rPr>
          <w:rFonts w:ascii="Arial" w:cs="Arial" w:eastAsia="Arial" w:hAnsi="Arial"/>
          <w:sz w:val="24"/>
          <w:szCs w:val="24"/>
        </w:rPr>
        <w:t xml:space="preserve">приложению 3 </w:t>
      </w:r>
      <w:r>
        <w:rPr>
          <w:rFonts w:ascii="Arial" w:cs="Arial" w:eastAsia="Arial" w:hAnsi="Arial"/>
          <w:sz w:val="24"/>
          <w:szCs w:val="24"/>
        </w:rPr>
        <w:t xml:space="preserve">к настоящему постановлению;</w:t>
      </w:r>
    </w:p>
    <w:p>
      <w:pPr>
        <w:spacing w:after="120"/>
        <w:ind w:firstLine="567"/>
        <w:jc w:val="both"/>
      </w:pPr>
      <w:r>
        <w:rPr>
          <w:rFonts w:ascii="Arial" w:cs="Arial" w:eastAsia="Arial" w:hAnsi="Arial"/>
          <w:sz w:val="24"/>
          <w:szCs w:val="24"/>
        </w:rPr>
        <w:t xml:space="preserve">- дополнить вышеуказанное Положение </w:t>
      </w:r>
      <w:r>
        <w:rPr>
          <w:rFonts w:ascii="Arial" w:cs="Arial" w:eastAsia="Arial" w:hAnsi="Arial"/>
          <w:sz w:val="24"/>
          <w:szCs w:val="24"/>
        </w:rPr>
        <w:t xml:space="preserve">приложением 2</w:t>
      </w:r>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5) в </w:t>
      </w:r>
      <w:r>
        <w:rPr>
          <w:rFonts w:ascii="Arial" w:cs="Arial" w:eastAsia="Arial" w:hAnsi="Arial"/>
          <w:sz w:val="24"/>
          <w:szCs w:val="24"/>
        </w:rPr>
        <w:t xml:space="preserve">Порядке </w:t>
      </w:r>
      <w:r>
        <w:rPr>
          <w:rFonts w:ascii="Arial" w:cs="Arial" w:eastAsia="Arial" w:hAnsi="Arial"/>
          <w:sz w:val="24"/>
          <w:szCs w:val="24"/>
        </w:rPr>
        <w:t xml:space="preserve">регистрации и выдачи сертификата для деятельности по осуществлению майнинга,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w:t>
      </w:r>
      <w:r>
        <w:rPr>
          <w:rFonts w:ascii="Arial" w:cs="Arial" w:eastAsia="Arial" w:hAnsi="Arial"/>
          <w:sz w:val="24"/>
          <w:szCs w:val="24"/>
        </w:rPr>
        <w:t xml:space="preserve">4</w:t>
      </w:r>
      <w:r>
        <w:rPr>
          <w:rFonts w:ascii="Arial" w:cs="Arial" w:eastAsia="Arial" w:hAnsi="Arial"/>
          <w:sz w:val="24"/>
          <w:szCs w:val="24"/>
        </w:rPr>
        <w:t xml:space="preserve"> дополнить пунктом 11-1 следующего содержания:</w:t>
      </w:r>
    </w:p>
    <w:p>
      <w:pPr>
        <w:spacing w:after="120"/>
        <w:ind w:firstLine="567"/>
        <w:jc w:val="both"/>
      </w:pPr>
      <w:r>
        <w:rPr>
          <w:rFonts w:ascii="Arial" w:cs="Arial" w:eastAsia="Arial" w:hAnsi="Arial"/>
          <w:sz w:val="24"/>
          <w:szCs w:val="24"/>
        </w:rPr>
        <w:t xml:space="preserve">"11-1. Заявитель несет ответственность, установленную законодательством Кыргызской Республики в области административного права, за достоверность сведений, представленных в уполномоченный орган для получения лицензии, а также за своевременность уведомления уполномоченного органа об изменениях в сведениях.";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6</w:t>
      </w:r>
      <w:r>
        <w:rPr>
          <w:rFonts w:ascii="Arial" w:cs="Arial" w:eastAsia="Arial" w:hAnsi="Arial"/>
          <w:sz w:val="24"/>
          <w:szCs w:val="24"/>
        </w:rPr>
        <w:t xml:space="preserve"> дополнить пунктом 21-1 следующего содержания:</w:t>
      </w:r>
    </w:p>
    <w:p>
      <w:pPr>
        <w:spacing w:after="120"/>
        <w:ind w:firstLine="567"/>
        <w:jc w:val="both"/>
      </w:pPr>
      <w:r>
        <w:rPr>
          <w:rFonts w:ascii="Arial" w:cs="Arial" w:eastAsia="Arial" w:hAnsi="Arial"/>
          <w:sz w:val="24"/>
          <w:szCs w:val="24"/>
        </w:rPr>
        <w:t xml:space="preserve">"21-1. Майнеры обязаны уведомлять уполномоченный орган об изменениях данных, указанных в документах, прилагаемых к заявлению на выдачу сертификата, не являющихся основанием для перерегистрации сертификата. Уведомление предоставляется в письменной форме не позднее 10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орган вносит соответствующие изменения в Электронный реестр майнеров в течение 3 рабочих дней с даты поступления уведомления.";</w:t>
      </w:r>
    </w:p>
    <w:p>
      <w:pPr>
        <w:spacing w:after="12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9</w:t>
      </w:r>
      <w:r>
        <w:rPr>
          <w:rFonts w:ascii="Arial" w:cs="Arial" w:eastAsia="Arial" w:hAnsi="Arial"/>
          <w:sz w:val="24"/>
          <w:szCs w:val="24"/>
        </w:rPr>
        <w:t xml:space="preserve"> следующего содержания: "</w:t>
      </w:r>
      <w:r>
        <w:rPr>
          <w:rFonts w:ascii="Arial" w:cs="Arial" w:eastAsia="Arial" w:hAnsi="Arial"/>
          <w:sz w:val="24"/>
          <w:szCs w:val="24"/>
        </w:rPr>
        <w:t xml:space="preserve">9. </w:t>
      </w:r>
      <w:r>
        <w:rPr>
          <w:rFonts w:ascii="Arial" w:cs="Arial" w:eastAsia="Arial" w:hAnsi="Arial"/>
          <w:sz w:val="24"/>
          <w:szCs w:val="24"/>
        </w:rPr>
        <w:t xml:space="preserve">Учет и отчетность</w:t>
      </w:r>
    </w:p>
    <w:p>
      <w:pPr>
        <w:spacing w:after="120"/>
        <w:ind w:firstLine="567"/>
        <w:jc w:val="both"/>
      </w:pPr>
      <w:r>
        <w:rPr>
          <w:rFonts w:ascii="Arial" w:cs="Arial" w:eastAsia="Arial" w:hAnsi="Arial"/>
          <w:sz w:val="24"/>
          <w:szCs w:val="24"/>
        </w:rPr>
        <w:t xml:space="preserve">25. Майнеры обязаны ежемесячно представлять в уполномоченный орган оперативную отчетность. Форма отчетности утверждается приказом уполномоченного органа.</w:t>
      </w:r>
    </w:p>
    <w:p>
      <w:pPr>
        <w:spacing w:after="120"/>
        <w:ind w:firstLine="567"/>
        <w:jc w:val="both"/>
      </w:pPr>
      <w:r>
        <w:rPr>
          <w:rFonts w:ascii="Arial" w:cs="Arial" w:eastAsia="Arial" w:hAnsi="Arial"/>
          <w:sz w:val="24"/>
          <w:szCs w:val="24"/>
        </w:rPr>
        <w:t xml:space="preserve">26. Майнеры обязаны ежеквартально не позднее 10 рабочих дней после окончания отчетного квартала представлять в уполномоченный орган финансовую отчетность, составленную в соответствии с международными стандартами финансовой отчетности.".</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газете "Эркин Тоо" от 10 января 2025 года № 1 (3657)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Положению об эмиссии (выпуске), обращении виртуальных активов и о порядке ведения Единого государственного реестра эмиссий виртуальных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РЕШЕНИЕ
 о выпуске и размещении виртуальных активов</w:t>
      </w:r>
    </w:p>
    <w:p>
      <w:pPr>
        <w:spacing w:after="120"/>
        <w:ind w:firstLine="567"/>
        <w:jc w:val="both"/>
      </w:pPr>
      <w:r>
        <w:rPr>
          <w:rFonts w:ascii="Arial" w:cs="Arial" w:eastAsia="Arial" w:hAnsi="Arial"/>
          <w:sz w:val="24"/>
          <w:szCs w:val="24"/>
        </w:rPr>
        <w:t xml:space="preserve">Полное наименование эмитента/ФИО эмитента: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Местонахождение/место жительства эмитента: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Контактные телефоны: _________________________________________________________________________________</w:t>
      </w:r>
    </w:p>
    <w:p>
      <w:pPr>
        <w:spacing w:after="120"/>
        <w:ind w:firstLine="567"/>
        <w:jc w:val="both"/>
      </w:pPr>
      <w:r>
        <w:rPr>
          <w:rFonts w:ascii="Arial" w:cs="Arial" w:eastAsia="Arial" w:hAnsi="Arial"/>
          <w:sz w:val="24"/>
          <w:szCs w:val="24"/>
        </w:rPr>
        <w:t xml:space="preserve">Сведения о государственной регистрации: 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(для юридических лиц и индивидуальных предпринимателей)</w:t>
      </w:r>
    </w:p>
    <w:p>
      <w:pPr>
        <w:spacing w:after="120"/>
        <w:ind w:firstLine="567"/>
        <w:jc w:val="both"/>
      </w:pPr>
      <w:r>
        <w:rPr>
          <w:rFonts w:ascii="Arial" w:cs="Arial" w:eastAsia="Arial" w:hAnsi="Arial"/>
          <w:sz w:val="24"/>
          <w:szCs w:val="24"/>
        </w:rPr>
        <w:t xml:space="preserve">Сведения о бенефициарном владельце: 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(для юридических лиц)</w:t>
      </w:r>
    </w:p>
    <w:p>
      <w:pPr>
        <w:spacing w:after="120"/>
        <w:ind w:firstLine="567"/>
        <w:jc w:val="both"/>
      </w:pPr>
      <w:r>
        <w:rPr>
          <w:rFonts w:ascii="Arial" w:cs="Arial" w:eastAsia="Arial" w:hAnsi="Arial"/>
          <w:sz w:val="24"/>
          <w:szCs w:val="24"/>
        </w:rPr>
        <w:t xml:space="preserve">Сведения об интернет-сайте эмитента, выпускающего виртуальные активы: ____________________________________</w:t>
      </w:r>
    </w:p>
    <w:p>
      <w:pPr>
        <w:spacing w:after="120"/>
        <w:ind w:firstLine="567"/>
        <w:jc w:val="both"/>
      </w:pPr>
      <w:r>
        <w:rPr>
          <w:rFonts w:ascii="Arial" w:cs="Arial" w:eastAsia="Arial" w:hAnsi="Arial"/>
          <w:sz w:val="24"/>
          <w:szCs w:val="24"/>
        </w:rPr>
        <w:t xml:space="preserve">ФИО эмитента ________________________________________________________________________________________</w:t>
      </w:r>
    </w:p>
    <w:p>
      <w:pPr>
        <w:spacing w:after="120"/>
        <w:ind w:firstLine="567"/>
        <w:jc w:val="both"/>
      </w:pPr>
      <w:r>
        <w:rPr>
          <w:rFonts w:ascii="Arial" w:cs="Arial" w:eastAsia="Arial" w:hAnsi="Arial"/>
          <w:sz w:val="24"/>
          <w:szCs w:val="24"/>
        </w:rPr>
        <w:t xml:space="preserve">                                                                         (для физического лица)</w:t>
      </w:r>
    </w:p>
    <w:p>
      <w:pPr>
        <w:spacing w:after="120"/>
        <w:ind w:firstLine="567"/>
        <w:jc w:val="both"/>
      </w:pPr>
      <w:r>
        <w:rPr>
          <w:rFonts w:ascii="Arial" w:cs="Arial" w:eastAsia="Arial" w:hAnsi="Arial"/>
          <w:sz w:val="24"/>
          <w:szCs w:val="24"/>
        </w:rPr>
        <w:t xml:space="preserve">подпись __________________________ "___" _____________________ 20___ г.</w:t>
      </w:r>
    </w:p>
    <w:p>
      <w:pPr>
        <w:spacing w:after="120"/>
        <w:ind w:firstLine="567"/>
        <w:jc w:val="both"/>
      </w:pPr>
      <w:r>
        <w:rPr>
          <w:rFonts w:ascii="Arial" w:cs="Arial" w:eastAsia="Arial" w:hAnsi="Arial"/>
          <w:sz w:val="24"/>
          <w:szCs w:val="24"/>
        </w:rPr>
        <w:t xml:space="preserve">Наименование должности руководителя эмитента: 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(для юридических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(ФИО)</w:t>
      </w:r>
    </w:p>
    <w:p>
      <w:pPr>
        <w:spacing w:after="120" w:before="120"/>
        <w:ind w:firstLine="567"/>
        <w:jc w:val="both"/>
      </w:pPr>
      <w:r>
        <w:rPr>
          <w:rFonts w:ascii="Arial" w:cs="Arial" w:eastAsia="Arial" w:hAnsi="Arial"/>
          <w:sz w:val="24"/>
          <w:szCs w:val="24"/>
        </w:rPr>
        <w:t xml:space="preserve">(печать)</w:t>
      </w:r>
    </w:p>
    <w:p>
      <w:pPr>
        <w:spacing w:after="120"/>
        <w:ind w:firstLine="567"/>
        <w:jc w:val="both"/>
      </w:pPr>
      <w:r>
        <w:rPr>
          <w:rFonts w:ascii="Arial" w:cs="Arial" w:eastAsia="Arial" w:hAnsi="Arial"/>
          <w:sz w:val="24"/>
          <w:szCs w:val="24"/>
        </w:rPr>
        <w:t xml:space="preserve">Наименование должности руководителя управляющего залогом:</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(подпись)                                                                                              (ФИО)</w:t>
      </w:r>
    </w:p>
    <w:p>
      <w:pPr>
        <w:spacing w:after="120" w:before="120"/>
        <w:ind w:firstLine="567"/>
        <w:jc w:val="both"/>
      </w:pPr>
      <w:r>
        <w:rPr>
          <w:rFonts w:ascii="Arial" w:cs="Arial" w:eastAsia="Arial" w:hAnsi="Arial"/>
          <w:sz w:val="24"/>
          <w:szCs w:val="24"/>
        </w:rPr>
        <w:t xml:space="preserve">(печать)</w:t>
      </w:r>
    </w:p>
    <w:p>
      <w:pPr>
        <w:spacing w:after="120"/>
        <w:ind w:firstLine="567"/>
        <w:jc w:val="both"/>
      </w:pPr>
      <w:r>
        <w:rPr>
          <w:rFonts w:ascii="Arial" w:cs="Arial" w:eastAsia="Arial" w:hAnsi="Arial"/>
          <w:sz w:val="24"/>
          <w:szCs w:val="24"/>
        </w:rPr>
        <w:t xml:space="preserve">Информация, включаемая в решение о выпуске и размещении виртуальных активов:</w:t>
      </w:r>
    </w:p>
    <w:p>
      <w:pPr>
        <w:spacing w:after="120"/>
        <w:ind w:firstLine="567"/>
        <w:jc w:val="both"/>
      </w:pPr>
      <w:r>
        <w:rPr>
          <w:rFonts w:ascii="Arial" w:cs="Arial" w:eastAsia="Arial" w:hAnsi="Arial"/>
          <w:sz w:val="24"/>
          <w:szCs w:val="24"/>
        </w:rPr>
        <w:t xml:space="preserve">1. Вид виртуальных активов.</w:t>
      </w:r>
    </w:p>
    <w:p>
      <w:pPr>
        <w:spacing w:after="120"/>
        <w:ind w:firstLine="567"/>
        <w:jc w:val="both"/>
      </w:pPr>
      <w:r>
        <w:rPr>
          <w:rFonts w:ascii="Arial" w:cs="Arial" w:eastAsia="Arial" w:hAnsi="Arial"/>
          <w:sz w:val="24"/>
          <w:szCs w:val="24"/>
        </w:rPr>
        <w:t xml:space="preserve">2. Номинальная стоимость каждого виртуального актива выпуска.</w:t>
      </w:r>
    </w:p>
    <w:p>
      <w:pPr>
        <w:spacing w:after="120"/>
        <w:ind w:firstLine="567"/>
        <w:jc w:val="both"/>
      </w:pPr>
      <w:r>
        <w:rPr>
          <w:rFonts w:ascii="Arial" w:cs="Arial" w:eastAsia="Arial" w:hAnsi="Arial"/>
          <w:sz w:val="24"/>
          <w:szCs w:val="24"/>
        </w:rPr>
        <w:t xml:space="preserve">3. Количество виртуальных активов данного выпуска.</w:t>
      </w:r>
    </w:p>
    <w:p>
      <w:pPr>
        <w:spacing w:after="120"/>
        <w:ind w:firstLine="567"/>
        <w:jc w:val="both"/>
      </w:pPr>
      <w:r>
        <w:rPr>
          <w:rFonts w:ascii="Arial" w:cs="Arial" w:eastAsia="Arial" w:hAnsi="Arial"/>
          <w:sz w:val="24"/>
          <w:szCs w:val="24"/>
        </w:rPr>
        <w:t xml:space="preserve">4. Вид и объем прав владельца каждым виртуальным активом выпуска.</w:t>
      </w:r>
    </w:p>
    <w:p>
      <w:pPr>
        <w:spacing w:after="120"/>
        <w:ind w:firstLine="567"/>
        <w:jc w:val="both"/>
      </w:pPr>
      <w:r>
        <w:rPr>
          <w:rFonts w:ascii="Arial" w:cs="Arial" w:eastAsia="Arial" w:hAnsi="Arial"/>
          <w:sz w:val="24"/>
          <w:szCs w:val="24"/>
        </w:rPr>
        <w:t xml:space="preserve">5. Условия и порядок размещения виртуальных активов выпуска:</w:t>
      </w:r>
    </w:p>
    <w:p>
      <w:pPr>
        <w:spacing w:after="120"/>
        <w:ind w:firstLine="567"/>
        <w:jc w:val="both"/>
      </w:pPr>
      <w:r>
        <w:rPr>
          <w:rFonts w:ascii="Arial" w:cs="Arial" w:eastAsia="Arial" w:hAnsi="Arial"/>
          <w:sz w:val="24"/>
          <w:szCs w:val="24"/>
        </w:rPr>
        <w:t xml:space="preserve">- срок размещения виртуальных активов;</w:t>
      </w:r>
    </w:p>
    <w:p>
      <w:pPr>
        <w:spacing w:after="120"/>
        <w:ind w:firstLine="567"/>
        <w:jc w:val="both"/>
      </w:pPr>
      <w:r>
        <w:rPr>
          <w:rFonts w:ascii="Arial" w:cs="Arial" w:eastAsia="Arial" w:hAnsi="Arial"/>
          <w:sz w:val="24"/>
          <w:szCs w:val="24"/>
        </w:rPr>
        <w:t xml:space="preserve">- дата начала размещения виртуальных активов путем заключения договоров об их приобретении;</w:t>
      </w:r>
    </w:p>
    <w:p>
      <w:pPr>
        <w:spacing w:after="120"/>
        <w:ind w:firstLine="567"/>
        <w:jc w:val="both"/>
      </w:pPr>
      <w:r>
        <w:rPr>
          <w:rFonts w:ascii="Arial" w:cs="Arial" w:eastAsia="Arial" w:hAnsi="Arial"/>
          <w:sz w:val="24"/>
          <w:szCs w:val="24"/>
        </w:rPr>
        <w:t xml:space="preserve">- дата окончания размещения виртуальных активов.</w:t>
      </w:r>
    </w:p>
    <w:p>
      <w:pPr>
        <w:spacing w:after="120"/>
        <w:ind w:firstLine="567"/>
        <w:jc w:val="both"/>
      </w:pPr>
      <w:r>
        <w:rPr>
          <w:rFonts w:ascii="Arial" w:cs="Arial" w:eastAsia="Arial" w:hAnsi="Arial"/>
          <w:sz w:val="24"/>
          <w:szCs w:val="24"/>
        </w:rPr>
        <w:t xml:space="preserve">6. Срок размещения виртуальных активов определяется с указанием на даты раскрытия какой-либо информации
           о выпуске виртуальных активов.</w:t>
      </w:r>
    </w:p>
    <w:p>
      <w:pPr>
        <w:spacing w:after="120"/>
        <w:ind w:firstLine="567"/>
        <w:jc w:val="both"/>
      </w:pPr>
      <w:r>
        <w:rPr>
          <w:rFonts w:ascii="Arial" w:cs="Arial" w:eastAsia="Arial" w:hAnsi="Arial"/>
          <w:sz w:val="24"/>
          <w:szCs w:val="24"/>
        </w:rPr>
        <w:t xml:space="preserve">7. Цена (цены) или порядок определения цены размещения виртуальных активов.</w:t>
      </w:r>
    </w:p>
    <w:p>
      <w:pPr>
        <w:spacing w:after="120"/>
        <w:ind w:firstLine="567"/>
        <w:jc w:val="both"/>
      </w:pPr>
      <w:r>
        <w:rPr>
          <w:rFonts w:ascii="Arial" w:cs="Arial" w:eastAsia="Arial" w:hAnsi="Arial"/>
          <w:sz w:val="24"/>
          <w:szCs w:val="24"/>
        </w:rPr>
        <w:t xml:space="preserve">8. Условия и порядок оплаты виртуальных активов.</w:t>
      </w:r>
    </w:p>
    <w:p>
      <w:pPr>
        <w:spacing w:after="120"/>
        <w:jc w:val="both"/>
      </w:pPr>
      <w:r>
        <w:rPr>
          <w:rFonts w:ascii="Arial" w:cs="Arial" w:eastAsia="Arial" w:hAnsi="Arial"/>
          <w:sz w:val="24"/>
          <w:szCs w:val="24"/>
        </w:rPr>
        <w:t xml:space="preserve">9. Минимальное количество виртуальных активов, размещение которых предполагается в рамках данного предложения
 и необходимо эмитенту для признания выпуска виртуальных активов состоявшимся, а также порядок возврата средств,
 переданных в оплату виртуальных активов, в случае признания выпуска несостоявшимся.</w:t>
      </w:r>
    </w:p>
    <w:p>
      <w:pPr>
        <w:spacing w:after="120"/>
        <w:ind w:firstLine="567"/>
        <w:jc w:val="both"/>
      </w:pPr>
      <w:r>
        <w:rPr>
          <w:rFonts w:ascii="Arial" w:cs="Arial" w:eastAsia="Arial" w:hAnsi="Arial"/>
          <w:sz w:val="24"/>
          <w:szCs w:val="24"/>
        </w:rPr>
        <w:t xml:space="preserve">10. Название блокчейна.</w:t>
      </w:r>
    </w:p>
    <w:p>
      <w:pPr>
        <w:spacing w:after="120"/>
        <w:ind w:firstLine="567"/>
        <w:jc w:val="both"/>
      </w:pPr>
      <w:r>
        <w:rPr>
          <w:rFonts w:ascii="Arial" w:cs="Arial" w:eastAsia="Arial" w:hAnsi="Arial"/>
          <w:sz w:val="24"/>
          <w:szCs w:val="24"/>
        </w:rPr>
        <w:t xml:space="preserve">11. Адрес кошелька эмитента виртуальных активов и смарт-контракта.</w:t>
      </w:r>
    </w:p>
    <w:p>
      <w:pPr>
        <w:spacing w:after="120"/>
        <w:ind w:firstLine="567"/>
        <w:jc w:val="both"/>
      </w:pPr>
      <w:r>
        <w:rPr>
          <w:rFonts w:ascii="Arial" w:cs="Arial" w:eastAsia="Arial" w:hAnsi="Arial"/>
          <w:sz w:val="24"/>
          <w:szCs w:val="24"/>
        </w:rPr>
        <w:t xml:space="preserve">12. Сведения о стоимости имущества, выставляемого в обеспечение и залог выпуска виртуальных активов.</w:t>
      </w:r>
    </w:p>
    <w:p>
      <w:pPr>
        <w:spacing w:after="120"/>
        <w:ind w:firstLine="567"/>
        <w:jc w:val="both"/>
      </w:pPr>
      <w:r>
        <w:rPr>
          <w:rFonts w:ascii="Arial" w:cs="Arial" w:eastAsia="Arial" w:hAnsi="Arial"/>
          <w:sz w:val="24"/>
          <w:szCs w:val="24"/>
        </w:rPr>
        <w:t xml:space="preserve">13. Сведения об управляющем залогом.</w:t>
      </w:r>
    </w:p>
    <w:p>
      <w:pPr>
        <w:spacing w:after="120"/>
        <w:jc w:val="both"/>
      </w:pPr>
      <w:r>
        <w:rPr>
          <w:rFonts w:ascii="Arial" w:cs="Arial" w:eastAsia="Arial" w:hAnsi="Arial"/>
          <w:sz w:val="24"/>
          <w:szCs w:val="24"/>
        </w:rPr>
        <w:t xml:space="preserve">14. Условия обращения взыскания на залоговое обеспечение для погашения обязательств эмитента перед владельцами
 виртуальных активов.</w:t>
      </w:r>
    </w:p>
    <w:p>
      <w:pPr>
        <w:spacing w:after="120"/>
        <w:ind w:firstLine="567"/>
        <w:jc w:val="both"/>
      </w:pPr>
      <w:r>
        <w:rPr>
          <w:rFonts w:ascii="Arial" w:cs="Arial" w:eastAsia="Arial" w:hAnsi="Arial"/>
          <w:sz w:val="24"/>
          <w:szCs w:val="24"/>
        </w:rPr>
        <w:t xml:space="preserve">15. Иные условия размещения виртуальных активов.".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Положению об эмиссии (выпуске), обращении виртуальных активов и о порядке ведения Единого государственного реестра эмиссий виртуальных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Титульный лист белой бумаги (white paper)</w:t>
      </w:r>
    </w:p>
    <w:p>
      <w:pPr>
        <w:spacing w:after="120"/>
        <w:ind w:firstLine="567"/>
        <w:jc w:val="both"/>
      </w:pPr>
      <w:r>
        <w:rPr>
          <w:rFonts w:ascii="Arial" w:cs="Arial" w:eastAsia="Arial" w:hAnsi="Arial"/>
          <w:sz w:val="24"/>
          <w:szCs w:val="24"/>
        </w:rPr>
        <w:t xml:space="preserve">Зарегистрировано: "___" _________________ 20___ г.</w:t>
      </w:r>
    </w:p>
    <w:p>
      <w:pPr>
        <w:spacing w:after="120"/>
        <w:ind w:firstLine="567"/>
        <w:jc w:val="both"/>
      </w:pPr>
      <w:r>
        <w:rPr>
          <w:rFonts w:ascii="Arial" w:cs="Arial" w:eastAsia="Arial" w:hAnsi="Arial"/>
          <w:sz w:val="24"/>
          <w:szCs w:val="24"/>
        </w:rPr>
        <w:t xml:space="preserve">Государственный регистрационный номер 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(регистрирующий орган)</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(подпись уполномоченного лица)</w:t>
      </w:r>
    </w:p>
    <w:p>
      <w:pPr>
        <w:spacing w:after="120" w:before="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Белая бумага (white paper) выпуска виртуальных активов</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(полное фирменное наименование эмитента/ФИО эмитента)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(местонахождение эмитента, контактные телефоны)</w:t>
      </w:r>
    </w:p>
    <w:p>
      <w:pPr>
        <w:spacing w:after="120"/>
        <w:ind w:firstLine="567"/>
        <w:jc w:val="both"/>
      </w:pPr>
      <w:r>
        <w:rPr>
          <w:rFonts w:ascii="Arial" w:cs="Arial" w:eastAsia="Arial" w:hAnsi="Arial"/>
          <w:sz w:val="24"/>
          <w:szCs w:val="24"/>
        </w:rPr>
        <w:t xml:space="preserve">"___" _________________ 20___ г.</w:t>
      </w:r>
    </w:p>
    <w:p>
      <w:pPr>
        <w:spacing w:after="120"/>
        <w:ind w:firstLine="567"/>
        <w:jc w:val="both"/>
      </w:pPr>
      <w:r>
        <w:rPr>
          <w:rFonts w:ascii="Arial" w:cs="Arial" w:eastAsia="Arial" w:hAnsi="Arial"/>
          <w:sz w:val="24"/>
          <w:szCs w:val="24"/>
        </w:rPr>
        <w:t xml:space="preserve">Информация, содержащаяся в настоящей белой бумаге (white paper), подлежит раскрытию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Уполномоченный государственный орган не отвечает за достоверность информации, содержащейся в данной белой бумаге (white paper), и ее регистрацию, не выражает своего отношения к размещаемым виртуальным активам.</w:t>
      </w:r>
    </w:p>
    <w:p>
      <w:pPr>
        <w:spacing w:after="120"/>
        <w:ind w:firstLine="567"/>
        <w:jc w:val="both"/>
      </w:pPr>
      <w:r>
        <w:rPr>
          <w:rFonts w:ascii="Arial" w:cs="Arial" w:eastAsia="Arial" w:hAnsi="Arial"/>
          <w:sz w:val="24"/>
          <w:szCs w:val="24"/>
        </w:rPr>
        <w:t xml:space="preserve">За достоверность всей предоставляемой информации несет ответственность сам эмитент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Принимая решение о вложении средств в виртуальные активы эмитента, Вам следует полагаться на свое собственное мнение о привлекательности и риске, связанном с владением данными виртуальными активами.</w:t>
      </w:r>
    </w:p>
    <w:p>
      <w:pPr>
        <w:spacing w:after="120"/>
        <w:ind w:firstLine="567"/>
        <w:jc w:val="both"/>
      </w:pPr>
      <w:r>
        <w:rPr>
          <w:rFonts w:ascii="Arial" w:cs="Arial" w:eastAsia="Arial" w:hAnsi="Arial"/>
          <w:sz w:val="24"/>
          <w:szCs w:val="24"/>
        </w:rPr>
        <w:t xml:space="preserve">Белая бумага (white paper) должна содержать как минимум следующие сведения:</w:t>
      </w:r>
    </w:p>
    <w:p>
      <w:pPr>
        <w:spacing w:after="120"/>
        <w:ind w:firstLine="567"/>
        <w:jc w:val="both"/>
      </w:pPr>
      <w:r>
        <w:rPr>
          <w:rFonts w:ascii="Arial" w:cs="Arial" w:eastAsia="Arial" w:hAnsi="Arial"/>
          <w:sz w:val="24"/>
          <w:szCs w:val="24"/>
        </w:rPr>
        <w:t xml:space="preserve">1. Дата составления белой бумаги (white paper).</w:t>
      </w:r>
    </w:p>
    <w:p>
      <w:pPr>
        <w:spacing w:after="120"/>
        <w:ind w:firstLine="567"/>
        <w:jc w:val="both"/>
      </w:pPr>
      <w:r>
        <w:rPr>
          <w:rFonts w:ascii="Arial" w:cs="Arial" w:eastAsia="Arial" w:hAnsi="Arial"/>
          <w:sz w:val="24"/>
          <w:szCs w:val="24"/>
        </w:rPr>
        <w:t xml:space="preserve">2. Краткое резюме проекта, существующие наработки и цели.</w:t>
      </w:r>
    </w:p>
    <w:p>
      <w:pPr>
        <w:spacing w:after="120"/>
        <w:ind w:firstLine="567"/>
        <w:jc w:val="both"/>
      </w:pPr>
      <w:r>
        <w:rPr>
          <w:rFonts w:ascii="Arial" w:cs="Arial" w:eastAsia="Arial" w:hAnsi="Arial"/>
          <w:sz w:val="24"/>
          <w:szCs w:val="24"/>
        </w:rPr>
        <w:t xml:space="preserve">3. Сведения о виртуальных активах эмитента:</w:t>
      </w:r>
    </w:p>
    <w:p>
      <w:pPr>
        <w:spacing w:after="120"/>
        <w:ind w:firstLine="567"/>
        <w:jc w:val="both"/>
      </w:pPr>
      <w:r>
        <w:rPr>
          <w:rFonts w:ascii="Arial" w:cs="Arial" w:eastAsia="Arial" w:hAnsi="Arial"/>
          <w:sz w:val="24"/>
          <w:szCs w:val="24"/>
        </w:rPr>
        <w:t xml:space="preserve">- все выпущенные к настоящему времени виртуальные активы эмитента;</w:t>
      </w:r>
    </w:p>
    <w:p>
      <w:pPr>
        <w:spacing w:after="120"/>
        <w:ind w:firstLine="567"/>
        <w:jc w:val="both"/>
      </w:pPr>
      <w:r>
        <w:rPr>
          <w:rFonts w:ascii="Arial" w:cs="Arial" w:eastAsia="Arial" w:hAnsi="Arial"/>
          <w:sz w:val="24"/>
          <w:szCs w:val="24"/>
        </w:rPr>
        <w:t xml:space="preserve">- вид публично предлагаемых виртуальных активов;</w:t>
      </w:r>
    </w:p>
    <w:p>
      <w:pPr>
        <w:spacing w:after="120"/>
        <w:ind w:firstLine="567"/>
        <w:jc w:val="both"/>
      </w:pPr>
      <w:r>
        <w:rPr>
          <w:rFonts w:ascii="Arial" w:cs="Arial" w:eastAsia="Arial" w:hAnsi="Arial"/>
          <w:sz w:val="24"/>
          <w:szCs w:val="24"/>
        </w:rPr>
        <w:t xml:space="preserve">- номинальная стоимость виртуальных активов;</w:t>
      </w:r>
    </w:p>
    <w:p>
      <w:pPr>
        <w:spacing w:after="120"/>
        <w:ind w:firstLine="567"/>
        <w:jc w:val="both"/>
      </w:pPr>
      <w:r>
        <w:rPr>
          <w:rFonts w:ascii="Arial" w:cs="Arial" w:eastAsia="Arial" w:hAnsi="Arial"/>
          <w:sz w:val="24"/>
          <w:szCs w:val="24"/>
        </w:rPr>
        <w:t xml:space="preserve">- количество виртуальных активов, предполагаемых к публичному предложению;</w:t>
      </w:r>
    </w:p>
    <w:p>
      <w:pPr>
        <w:spacing w:after="120"/>
        <w:ind w:firstLine="567"/>
        <w:jc w:val="both"/>
      </w:pPr>
      <w:r>
        <w:rPr>
          <w:rFonts w:ascii="Arial" w:cs="Arial" w:eastAsia="Arial" w:hAnsi="Arial"/>
          <w:sz w:val="24"/>
          <w:szCs w:val="24"/>
        </w:rPr>
        <w:t xml:space="preserve">- название блокчейна, адрес кошелька эмитента виртуальных активов и смарт-контракта;</w:t>
      </w:r>
    </w:p>
    <w:p>
      <w:pPr>
        <w:spacing w:after="120"/>
        <w:ind w:firstLine="567"/>
        <w:jc w:val="both"/>
      </w:pPr>
      <w:r>
        <w:rPr>
          <w:rFonts w:ascii="Arial" w:cs="Arial" w:eastAsia="Arial" w:hAnsi="Arial"/>
          <w:sz w:val="24"/>
          <w:szCs w:val="24"/>
        </w:rPr>
        <w:t xml:space="preserve">- минимальное количество виртуальных активов, продажа которых предполагается в рамках данного публичного предложения, необходимое эмитенту для признания публичного предложения виртуальных активов состоявшимся;</w:t>
      </w:r>
    </w:p>
    <w:p>
      <w:pPr>
        <w:spacing w:after="120"/>
        <w:ind w:firstLine="567"/>
        <w:jc w:val="both"/>
      </w:pPr>
      <w:r>
        <w:rPr>
          <w:rFonts w:ascii="Arial" w:cs="Arial" w:eastAsia="Arial" w:hAnsi="Arial"/>
          <w:sz w:val="24"/>
          <w:szCs w:val="24"/>
        </w:rPr>
        <w:t xml:space="preserve">- цена (порядок определения цены) виртуальных активов при публичном предложении;</w:t>
      </w:r>
    </w:p>
    <w:p>
      <w:pPr>
        <w:spacing w:after="120"/>
        <w:ind w:firstLine="567"/>
        <w:jc w:val="both"/>
      </w:pPr>
      <w:r>
        <w:rPr>
          <w:rFonts w:ascii="Arial" w:cs="Arial" w:eastAsia="Arial" w:hAnsi="Arial"/>
          <w:sz w:val="24"/>
          <w:szCs w:val="24"/>
        </w:rPr>
        <w:t xml:space="preserve">- условия и сроки осуществления публичного предложения виртуальных активов;</w:t>
      </w:r>
    </w:p>
    <w:p>
      <w:pPr>
        <w:spacing w:after="120"/>
        <w:ind w:firstLine="567"/>
        <w:jc w:val="both"/>
      </w:pPr>
      <w:r>
        <w:rPr>
          <w:rFonts w:ascii="Arial" w:cs="Arial" w:eastAsia="Arial" w:hAnsi="Arial"/>
          <w:sz w:val="24"/>
          <w:szCs w:val="24"/>
        </w:rPr>
        <w:t xml:space="preserve">- указание, были ли предлагаемые виртуальные активы ранее выпущены либо предлагаются к размещению;</w:t>
      </w:r>
    </w:p>
    <w:p>
      <w:pPr>
        <w:spacing w:after="120"/>
        <w:ind w:firstLine="567"/>
        <w:jc w:val="both"/>
      </w:pPr>
      <w:r>
        <w:rPr>
          <w:rFonts w:ascii="Arial" w:cs="Arial" w:eastAsia="Arial" w:hAnsi="Arial"/>
          <w:sz w:val="24"/>
          <w:szCs w:val="24"/>
        </w:rPr>
        <w:t xml:space="preserve">- способ оплаты виртуальных активов, получения дохода по виртуальным активам, срок обращения, а также порядок погашения виртуальных активов (при наличии соответствующего решения эмитента виртуальных активов);</w:t>
      </w:r>
    </w:p>
    <w:p>
      <w:pPr>
        <w:spacing w:after="120"/>
        <w:ind w:firstLine="567"/>
        <w:jc w:val="both"/>
      </w:pPr>
      <w:r>
        <w:rPr>
          <w:rFonts w:ascii="Arial" w:cs="Arial" w:eastAsia="Arial" w:hAnsi="Arial"/>
          <w:sz w:val="24"/>
          <w:szCs w:val="24"/>
        </w:rPr>
        <w:t xml:space="preserve">- наличие преимущественного права на приобретение публично размещаемых виртуальных активов, любые ограничения на приобретение и обращение размещаемых виртуальных активов (при наличии преимущественного права или ограничений);</w:t>
      </w:r>
    </w:p>
    <w:p>
      <w:pPr>
        <w:spacing w:after="120"/>
        <w:ind w:firstLine="567"/>
        <w:jc w:val="both"/>
      </w:pPr>
      <w:r>
        <w:rPr>
          <w:rFonts w:ascii="Arial" w:cs="Arial" w:eastAsia="Arial" w:hAnsi="Arial"/>
          <w:sz w:val="24"/>
          <w:szCs w:val="24"/>
        </w:rPr>
        <w:t xml:space="preserve">- сведения о лицах, оказывающих услуги по организации публичного предложения виртуальных активов;</w:t>
      </w:r>
    </w:p>
    <w:p>
      <w:pPr>
        <w:spacing w:after="120"/>
        <w:ind w:firstLine="567"/>
        <w:jc w:val="both"/>
      </w:pPr>
      <w:r>
        <w:rPr>
          <w:rFonts w:ascii="Arial" w:cs="Arial" w:eastAsia="Arial" w:hAnsi="Arial"/>
          <w:sz w:val="24"/>
          <w:szCs w:val="24"/>
        </w:rPr>
        <w:t xml:space="preserve">- сведения об операторе торгов виртуальных активов, по средствам которого предполагается продажа виртуальных активов;</w:t>
      </w:r>
    </w:p>
    <w:p>
      <w:pPr>
        <w:spacing w:after="120"/>
        <w:ind w:firstLine="567"/>
        <w:jc w:val="both"/>
      </w:pPr>
      <w:r>
        <w:rPr>
          <w:rFonts w:ascii="Arial" w:cs="Arial" w:eastAsia="Arial" w:hAnsi="Arial"/>
          <w:sz w:val="24"/>
          <w:szCs w:val="24"/>
        </w:rPr>
        <w:t xml:space="preserve">- указание о включении эмитента в листинг оператора торгов виртуальных активов;</w:t>
      </w:r>
    </w:p>
    <w:p>
      <w:pPr>
        <w:spacing w:after="120"/>
        <w:ind w:firstLine="567"/>
        <w:jc w:val="both"/>
      </w:pPr>
      <w:r>
        <w:rPr>
          <w:rFonts w:ascii="Arial" w:cs="Arial" w:eastAsia="Arial" w:hAnsi="Arial"/>
          <w:sz w:val="24"/>
          <w:szCs w:val="24"/>
        </w:rPr>
        <w:t xml:space="preserve">- заключение эксперта (экспертной организации), которое должно содержаться в белой бумаге (white paper) и/или на которое делается ссылка в белой бумаге (white paper), в случаях привлечения эмитентом дополнительного эксперта (экспертной организации);</w:t>
      </w:r>
    </w:p>
    <w:p>
      <w:pPr>
        <w:spacing w:after="120"/>
        <w:ind w:firstLine="567"/>
        <w:jc w:val="both"/>
      </w:pPr>
      <w:r>
        <w:rPr>
          <w:rFonts w:ascii="Arial" w:cs="Arial" w:eastAsia="Arial" w:hAnsi="Arial"/>
          <w:sz w:val="24"/>
          <w:szCs w:val="24"/>
        </w:rPr>
        <w:t xml:space="preserve">- порядок возврата средств, полученных за оплату виртуальных активов, в случае признания публичного предложения виртуальных активов несостоявшимся;</w:t>
      </w:r>
    </w:p>
    <w:p>
      <w:pPr>
        <w:spacing w:after="120"/>
        <w:ind w:firstLine="567"/>
        <w:jc w:val="both"/>
      </w:pPr>
      <w:r>
        <w:rPr>
          <w:rFonts w:ascii="Arial" w:cs="Arial" w:eastAsia="Arial" w:hAnsi="Arial"/>
          <w:sz w:val="24"/>
          <w:szCs w:val="24"/>
        </w:rPr>
        <w:t xml:space="preserve">- сведения о стоимости имущества, выставляемого в обеспечение и залог выпуска виртуальных активов;</w:t>
      </w:r>
    </w:p>
    <w:p>
      <w:pPr>
        <w:spacing w:after="120"/>
        <w:ind w:firstLine="567"/>
        <w:jc w:val="both"/>
      </w:pPr>
      <w:r>
        <w:rPr>
          <w:rFonts w:ascii="Arial" w:cs="Arial" w:eastAsia="Arial" w:hAnsi="Arial"/>
          <w:sz w:val="24"/>
          <w:szCs w:val="24"/>
        </w:rPr>
        <w:t xml:space="preserve">- сведения об управляющем залогом;</w:t>
      </w:r>
    </w:p>
    <w:p>
      <w:pPr>
        <w:spacing w:after="120"/>
        <w:ind w:firstLine="567"/>
        <w:jc w:val="both"/>
      </w:pPr>
      <w:r>
        <w:rPr>
          <w:rFonts w:ascii="Arial" w:cs="Arial" w:eastAsia="Arial" w:hAnsi="Arial"/>
          <w:sz w:val="24"/>
          <w:szCs w:val="24"/>
        </w:rPr>
        <w:t xml:space="preserve">- условия обращения взыскания на залоговое обеспечение для погашения обязательств эмитента перед владельцами виртуальных активов.</w:t>
      </w:r>
    </w:p>
    <w:p>
      <w:pPr>
        <w:spacing w:after="120"/>
        <w:ind w:firstLine="567"/>
        <w:jc w:val="both"/>
      </w:pPr>
      <w:r>
        <w:rPr>
          <w:rFonts w:ascii="Arial" w:cs="Arial" w:eastAsia="Arial" w:hAnsi="Arial"/>
          <w:sz w:val="24"/>
          <w:szCs w:val="24"/>
        </w:rPr>
        <w:t xml:space="preserve">4. Параметры рынка (расчеты рынка, потенциальной аудитории).</w:t>
      </w:r>
    </w:p>
    <w:p>
      <w:pPr>
        <w:spacing w:after="120"/>
        <w:ind w:firstLine="567"/>
        <w:jc w:val="both"/>
      </w:pPr>
      <w:r>
        <w:rPr>
          <w:rFonts w:ascii="Arial" w:cs="Arial" w:eastAsia="Arial" w:hAnsi="Arial"/>
          <w:sz w:val="24"/>
          <w:szCs w:val="24"/>
        </w:rPr>
        <w:t xml:space="preserve">5. Маршрутная карта, которая определяет сроки развития проекта.</w:t>
      </w:r>
    </w:p>
    <w:p>
      <w:pPr>
        <w:spacing w:after="120"/>
        <w:ind w:firstLine="567"/>
        <w:jc w:val="both"/>
      </w:pPr>
      <w:r>
        <w:rPr>
          <w:rFonts w:ascii="Arial" w:cs="Arial" w:eastAsia="Arial" w:hAnsi="Arial"/>
          <w:sz w:val="24"/>
          <w:szCs w:val="24"/>
        </w:rPr>
        <w:t xml:space="preserve">6. Бизнес-план (технико-экономическое обоснование):</w:t>
      </w:r>
    </w:p>
    <w:p>
      <w:pPr>
        <w:spacing w:after="120"/>
        <w:ind w:firstLine="567"/>
        <w:jc w:val="both"/>
      </w:pPr>
      <w:r>
        <w:rPr>
          <w:rFonts w:ascii="Arial" w:cs="Arial" w:eastAsia="Arial" w:hAnsi="Arial"/>
          <w:sz w:val="24"/>
          <w:szCs w:val="24"/>
        </w:rPr>
        <w:t xml:space="preserve">- определение целей, преследуемых при проведении услуг, связанных с виртуальными активами;</w:t>
      </w:r>
    </w:p>
    <w:p>
      <w:pPr>
        <w:spacing w:after="120"/>
        <w:ind w:firstLine="567"/>
        <w:jc w:val="both"/>
      </w:pPr>
      <w:r>
        <w:rPr>
          <w:rFonts w:ascii="Arial" w:cs="Arial" w:eastAsia="Arial" w:hAnsi="Arial"/>
          <w:sz w:val="24"/>
          <w:szCs w:val="24"/>
        </w:rPr>
        <w:t xml:space="preserve">- прогнозные расчеты экономических результатов, ожидаемых от оказания данных услуг, как минимум на 3 года;</w:t>
      </w:r>
    </w:p>
    <w:p>
      <w:pPr>
        <w:spacing w:after="120"/>
        <w:ind w:firstLine="567"/>
        <w:jc w:val="both"/>
      </w:pPr>
      <w:r>
        <w:rPr>
          <w:rFonts w:ascii="Arial" w:cs="Arial" w:eastAsia="Arial" w:hAnsi="Arial"/>
          <w:sz w:val="24"/>
          <w:szCs w:val="24"/>
        </w:rPr>
        <w:t xml:space="preserve">- потенциальный срок окупаемости;</w:t>
      </w:r>
    </w:p>
    <w:p>
      <w:pPr>
        <w:spacing w:after="120"/>
        <w:ind w:firstLine="567"/>
        <w:jc w:val="both"/>
      </w:pPr>
      <w:r>
        <w:rPr>
          <w:rFonts w:ascii="Arial" w:cs="Arial" w:eastAsia="Arial" w:hAnsi="Arial"/>
          <w:sz w:val="24"/>
          <w:szCs w:val="24"/>
        </w:rPr>
        <w:t xml:space="preserve">- рентабельность;</w:t>
      </w:r>
    </w:p>
    <w:p>
      <w:pPr>
        <w:spacing w:after="120"/>
        <w:ind w:firstLine="567"/>
        <w:jc w:val="both"/>
      </w:pPr>
      <w:r>
        <w:rPr>
          <w:rFonts w:ascii="Arial" w:cs="Arial" w:eastAsia="Arial" w:hAnsi="Arial"/>
          <w:sz w:val="24"/>
          <w:szCs w:val="24"/>
        </w:rPr>
        <w:t xml:space="preserve">- источник денежных средств для реализации проекта.</w:t>
      </w:r>
    </w:p>
    <w:p>
      <w:pPr>
        <w:spacing w:after="120"/>
        <w:ind w:firstLine="567"/>
        <w:jc w:val="both"/>
      </w:pPr>
      <w:r>
        <w:rPr>
          <w:rFonts w:ascii="Arial" w:cs="Arial" w:eastAsia="Arial" w:hAnsi="Arial"/>
          <w:sz w:val="24"/>
          <w:szCs w:val="24"/>
        </w:rPr>
        <w:t xml:space="preserve">7. Риски, связанные с приобретением виртуальных активов эмитента (приводится подробный анализ факторов риска, которым будут подвергаться владельцы виртуальных активов эмитента).</w:t>
      </w:r>
    </w:p>
    <w:p>
      <w:pPr>
        <w:spacing w:after="120"/>
        <w:ind w:firstLine="567"/>
        <w:jc w:val="both"/>
      </w:pPr>
      <w:r>
        <w:rPr>
          <w:rFonts w:ascii="Arial" w:cs="Arial" w:eastAsia="Arial" w:hAnsi="Arial"/>
          <w:sz w:val="24"/>
          <w:szCs w:val="24"/>
        </w:rPr>
        <w:t xml:space="preserve">8. Конкурирующие решения и преимущества проекта перед ними.</w:t>
      </w:r>
    </w:p>
    <w:p>
      <w:pPr>
        <w:spacing w:after="120"/>
        <w:ind w:firstLine="567"/>
        <w:jc w:val="both"/>
      </w:pPr>
      <w:r>
        <w:rPr>
          <w:rFonts w:ascii="Arial" w:cs="Arial" w:eastAsia="Arial" w:hAnsi="Arial"/>
          <w:sz w:val="24"/>
          <w:szCs w:val="24"/>
        </w:rPr>
        <w:t xml:space="preserve">9. Описание команды, включая лиц обладающих профессиональными навыками, которые способствуют продвижению проекта.</w:t>
      </w:r>
    </w:p>
    <w:p>
      <w:pPr>
        <w:spacing w:after="120"/>
        <w:ind w:firstLine="567"/>
        <w:jc w:val="both"/>
      </w:pPr>
      <w:r>
        <w:rPr>
          <w:rFonts w:ascii="Arial" w:cs="Arial" w:eastAsia="Arial" w:hAnsi="Arial"/>
          <w:sz w:val="24"/>
          <w:szCs w:val="24"/>
        </w:rPr>
        <w:t xml:space="preserve">10. История разработки, освещение в СМИ.</w:t>
      </w:r>
    </w:p>
    <w:p>
      <w:pPr>
        <w:spacing w:after="120"/>
        <w:ind w:firstLine="567"/>
        <w:jc w:val="both"/>
      </w:pPr>
      <w:r>
        <w:rPr>
          <w:rFonts w:ascii="Arial" w:cs="Arial" w:eastAsia="Arial" w:hAnsi="Arial"/>
          <w:sz w:val="24"/>
          <w:szCs w:val="24"/>
        </w:rPr>
        <w:t xml:space="preserve">11. Юридическая информация:</w:t>
      </w:r>
    </w:p>
    <w:p>
      <w:pPr>
        <w:spacing w:after="120"/>
        <w:ind w:firstLine="567"/>
        <w:jc w:val="both"/>
      </w:pPr>
      <w:r>
        <w:rPr>
          <w:rFonts w:ascii="Arial" w:cs="Arial" w:eastAsia="Arial" w:hAnsi="Arial"/>
          <w:sz w:val="24"/>
          <w:szCs w:val="24"/>
        </w:rPr>
        <w:t xml:space="preserve">11.1. Общие сведения об эмитенте.</w:t>
      </w:r>
    </w:p>
    <w:p>
      <w:pPr>
        <w:spacing w:after="120"/>
        <w:ind w:firstLine="567"/>
        <w:jc w:val="both"/>
      </w:pPr>
      <w:r>
        <w:rPr>
          <w:rFonts w:ascii="Arial" w:cs="Arial" w:eastAsia="Arial" w:hAnsi="Arial"/>
          <w:sz w:val="24"/>
          <w:szCs w:val="24"/>
        </w:rPr>
        <w:t xml:space="preserve">Полное фирменное наименование эмитента/ФИО эмитента.</w:t>
      </w:r>
    </w:p>
    <w:p>
      <w:pPr>
        <w:spacing w:after="120"/>
        <w:ind w:firstLine="567"/>
        <w:jc w:val="both"/>
      </w:pPr>
      <w:r>
        <w:rPr>
          <w:rFonts w:ascii="Arial" w:cs="Arial" w:eastAsia="Arial" w:hAnsi="Arial"/>
          <w:sz w:val="24"/>
          <w:szCs w:val="24"/>
        </w:rPr>
        <w:t xml:space="preserve">Сокращенное наименование эмитента (для юридических лиц).</w:t>
      </w:r>
    </w:p>
    <w:p>
      <w:pPr>
        <w:spacing w:after="120"/>
        <w:ind w:firstLine="567"/>
        <w:jc w:val="both"/>
      </w:pPr>
      <w:r>
        <w:rPr>
          <w:rFonts w:ascii="Arial" w:cs="Arial" w:eastAsia="Arial" w:hAnsi="Arial"/>
          <w:sz w:val="24"/>
          <w:szCs w:val="24"/>
        </w:rPr>
        <w:t xml:space="preserve">Данные об изменениях в наименовании и организационно-правовой форме эмитента (для юридических лиц).</w:t>
      </w:r>
    </w:p>
    <w:p>
      <w:pPr>
        <w:spacing w:after="120"/>
        <w:ind w:firstLine="567"/>
        <w:jc w:val="both"/>
      </w:pPr>
      <w:r>
        <w:rPr>
          <w:rFonts w:ascii="Arial" w:cs="Arial" w:eastAsia="Arial" w:hAnsi="Arial"/>
          <w:sz w:val="24"/>
          <w:szCs w:val="24"/>
        </w:rPr>
        <w:t xml:space="preserve">Если в течение времени существования эмитента его фирменное наименование и организационно-правовая форма менялись, указываются все его предшествующие полные и сокращенные фирменные наименования, организационно-правовые формы, а также даты, когда они были изменены (для юридических лиц).</w:t>
      </w:r>
    </w:p>
    <w:p>
      <w:pPr>
        <w:spacing w:after="120"/>
        <w:ind w:firstLine="567"/>
        <w:jc w:val="both"/>
      </w:pPr>
      <w:r>
        <w:rPr>
          <w:rFonts w:ascii="Arial" w:cs="Arial" w:eastAsia="Arial" w:hAnsi="Arial"/>
          <w:sz w:val="24"/>
          <w:szCs w:val="24"/>
        </w:rPr>
        <w:t xml:space="preserve">Сведения о государственной регистрации (перерегистрации) эмитента (для индивидуальных предпринимателей и юридических лиц).</w:t>
      </w:r>
    </w:p>
    <w:p>
      <w:pPr>
        <w:spacing w:after="120"/>
        <w:ind w:firstLine="567"/>
        <w:jc w:val="both"/>
      </w:pPr>
      <w:r>
        <w:rPr>
          <w:rFonts w:ascii="Arial" w:cs="Arial" w:eastAsia="Arial" w:hAnsi="Arial"/>
          <w:sz w:val="24"/>
          <w:szCs w:val="24"/>
        </w:rPr>
        <w:t xml:space="preserve">Указываются регистрационный номер и дата о государственной регистрации (иного документа, подтверждающего государственную регистрацию эмитента), а также наименование органа, осуществившего его государственную регистрацию (для индивидуальных предпринимателей и юридических лиц).</w:t>
      </w:r>
    </w:p>
    <w:p>
      <w:pPr>
        <w:spacing w:after="12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120"/>
        <w:ind w:firstLine="567"/>
        <w:jc w:val="both"/>
      </w:pPr>
      <w:r>
        <w:rPr>
          <w:rFonts w:ascii="Arial" w:cs="Arial" w:eastAsia="Arial" w:hAnsi="Arial"/>
          <w:sz w:val="24"/>
          <w:szCs w:val="24"/>
        </w:rPr>
        <w:t xml:space="preserve">Основной вид хозяйственной деятельности эмитента.</w:t>
      </w:r>
    </w:p>
    <w:p>
      <w:pPr>
        <w:spacing w:after="120"/>
        <w:ind w:firstLine="567"/>
        <w:jc w:val="both"/>
      </w:pPr>
      <w:r>
        <w:rPr>
          <w:rFonts w:ascii="Arial" w:cs="Arial" w:eastAsia="Arial" w:hAnsi="Arial"/>
          <w:sz w:val="24"/>
          <w:szCs w:val="24"/>
        </w:rPr>
        <w:t xml:space="preserve">11.2. Сведения о должностных лицах эмитента (для юридических лиц).</w:t>
      </w:r>
    </w:p>
    <w:p>
      <w:pPr>
        <w:spacing w:after="120"/>
        <w:ind w:firstLine="567"/>
        <w:jc w:val="both"/>
      </w:pPr>
      <w:r>
        <w:rPr>
          <w:rFonts w:ascii="Arial" w:cs="Arial" w:eastAsia="Arial" w:hAnsi="Arial"/>
          <w:sz w:val="24"/>
          <w:szCs w:val="24"/>
        </w:rPr>
        <w:t xml:space="preserve">Сведения о структуре и компетенции органов управления эмитента.</w:t>
      </w:r>
    </w:p>
    <w:p>
      <w:pPr>
        <w:spacing w:after="120"/>
        <w:ind w:firstLine="567"/>
        <w:jc w:val="both"/>
      </w:pPr>
      <w:r>
        <w:rPr>
          <w:rFonts w:ascii="Arial" w:cs="Arial" w:eastAsia="Arial" w:hAnsi="Arial"/>
          <w:sz w:val="24"/>
          <w:szCs w:val="24"/>
        </w:rPr>
        <w:t xml:space="preserve">Список лиц, входящих в состав органов управления эмитента, информация об управляющей организации, характер аффилированных связей между лицами, входящими в органы управления эмитента, владельцами крупных пакетов акций/долей и учредителями/участниками, владельцами контрольного пакета акций/долей.</w:t>
      </w:r>
    </w:p>
    <w:p>
      <w:pPr>
        <w:spacing w:after="120"/>
        <w:ind w:firstLine="567"/>
        <w:jc w:val="both"/>
      </w:pPr>
      <w:r>
        <w:rPr>
          <w:rFonts w:ascii="Arial" w:cs="Arial" w:eastAsia="Arial" w:hAnsi="Arial"/>
          <w:sz w:val="24"/>
          <w:szCs w:val="24"/>
        </w:rPr>
        <w:t xml:space="preserve">Количество принадлежащих должностным лицам акций/долей эмитента и его дочерних и зависимых обществах.</w:t>
      </w:r>
    </w:p>
    <w:p>
      <w:pPr>
        <w:spacing w:after="120"/>
        <w:ind w:firstLine="567"/>
        <w:jc w:val="both"/>
      </w:pPr>
      <w:r>
        <w:rPr>
          <w:rFonts w:ascii="Arial" w:cs="Arial" w:eastAsia="Arial" w:hAnsi="Arial"/>
          <w:sz w:val="24"/>
          <w:szCs w:val="24"/>
        </w:rPr>
        <w:t xml:space="preserve">11.3. Сведения об учредителях или участниках эмитента (для юридических лиц).</w:t>
      </w:r>
    </w:p>
    <w:p>
      <w:pPr>
        <w:spacing w:after="120"/>
        <w:ind w:firstLine="567"/>
        <w:jc w:val="both"/>
      </w:pPr>
      <w:r>
        <w:rPr>
          <w:rFonts w:ascii="Arial" w:cs="Arial" w:eastAsia="Arial" w:hAnsi="Arial"/>
          <w:sz w:val="24"/>
          <w:szCs w:val="24"/>
        </w:rPr>
        <w:t xml:space="preserve">Сведения о владельцах крупных пакетов акций/долей и учредителях/участниках, владеющих контрольным пакетом акций/долей.</w:t>
      </w:r>
    </w:p>
    <w:p>
      <w:pPr>
        <w:spacing w:after="120"/>
        <w:ind w:firstLine="567"/>
        <w:jc w:val="both"/>
      </w:pPr>
      <w:r>
        <w:rPr>
          <w:rFonts w:ascii="Arial" w:cs="Arial" w:eastAsia="Arial" w:hAnsi="Arial"/>
          <w:sz w:val="24"/>
          <w:szCs w:val="24"/>
        </w:rPr>
        <w:t xml:space="preserve">Сведения о совершенных эмитентом сделках, в совершении которых имелась заинтересованность его должностных лиц, владельцев крупных пакетов акций/долей их аффилированных лиц за 3 последних завершенных финансовых года или за каждый завершенный финансовый год, если эмитент осуществляет свою деятельность менее 3 лет, а также за период до даты составления белой бумаги (white paper).</w:t>
      </w:r>
    </w:p>
    <w:p>
      <w:pPr>
        <w:spacing w:after="120"/>
        <w:ind w:firstLine="567"/>
        <w:jc w:val="both"/>
      </w:pPr>
      <w:r>
        <w:rPr>
          <w:rFonts w:ascii="Arial" w:cs="Arial" w:eastAsia="Arial" w:hAnsi="Arial"/>
          <w:sz w:val="24"/>
          <w:szCs w:val="24"/>
        </w:rPr>
        <w:t xml:space="preserve">12. Иная информация:</w:t>
      </w:r>
    </w:p>
    <w:p>
      <w:pPr>
        <w:spacing w:after="120"/>
        <w:ind w:firstLine="567"/>
        <w:jc w:val="both"/>
      </w:pPr>
      <w:r>
        <w:rPr>
          <w:rFonts w:ascii="Arial" w:cs="Arial" w:eastAsia="Arial" w:hAnsi="Arial"/>
          <w:sz w:val="24"/>
          <w:szCs w:val="24"/>
        </w:rPr>
        <w:t xml:space="preserve">прочие особенности и условия выпуска и (или) обращения виртуальных активов.</w:t>
      </w:r>
    </w:p>
    <w:p>
      <w:pPr>
        <w:spacing w:after="120"/>
        <w:ind w:firstLine="567"/>
        <w:jc w:val="both"/>
      </w:pPr>
      <w:r>
        <w:rPr>
          <w:rFonts w:ascii="Arial" w:cs="Arial" w:eastAsia="Arial" w:hAnsi="Arial"/>
          <w:sz w:val="24"/>
          <w:szCs w:val="24"/>
        </w:rPr>
        <w:t xml:space="preserve">Основные места (место) продажи виртуальных активов.</w:t>
      </w:r>
    </w:p>
    <w:p>
      <w:pPr>
        <w:spacing w:after="120"/>
        <w:ind w:firstLine="567"/>
        <w:jc w:val="both"/>
      </w:pPr>
      <w:r>
        <w:rPr>
          <w:rFonts w:ascii="Arial" w:cs="Arial" w:eastAsia="Arial" w:hAnsi="Arial"/>
          <w:sz w:val="24"/>
          <w:szCs w:val="24"/>
        </w:rPr>
        <w:t xml:space="preserve">Эмитент (для физических лиц): 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(ФИО)                                                                                                   (подпись)</w:t>
      </w:r>
    </w:p>
    <w:p>
      <w:pPr>
        <w:spacing w:after="120"/>
        <w:ind w:firstLine="567"/>
        <w:jc w:val="both"/>
      </w:pPr>
      <w:r>
        <w:rPr>
          <w:rFonts w:ascii="Arial" w:cs="Arial" w:eastAsia="Arial" w:hAnsi="Arial"/>
          <w:sz w:val="24"/>
          <w:szCs w:val="24"/>
        </w:rPr>
        <w:t xml:space="preserve">Руководитель (для юридических лиц):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(ФИО)                                                                                                   (подпись)</w:t>
      </w:r>
    </w:p>
    <w:p>
      <w:pPr>
        <w:spacing w:after="120"/>
        <w:ind w:firstLine="567"/>
        <w:jc w:val="both"/>
      </w:pPr>
      <w:r>
        <w:rPr>
          <w:rFonts w:ascii="Arial" w:cs="Arial" w:eastAsia="Arial" w:hAnsi="Arial"/>
          <w:sz w:val="24"/>
          <w:szCs w:val="24"/>
        </w:rPr>
        <w:t xml:space="preserve">Главный бухгалтер (для юридических лиц): 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(ФИО)                                                                                                   (подпись)</w:t>
      </w:r>
    </w:p>
    <w:p>
      <w:pPr>
        <w:spacing w:after="120" w:before="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Руководитель (для управляющего залогом): 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(ФИО)                                                                                                   (подпись)</w:t>
      </w:r>
    </w:p>
    <w:p>
      <w:pPr>
        <w:spacing w:after="120" w:before="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"___" _____________________ 20___ года.".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Положению о деятельности оператора обмена виртуальных активов и ведении Реестра операторов обмена виртуальных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АНКЕТА
 акционера (учредителя)/участника, бенефициарного владельца и должностного лица оператора обмена виртуальных активов
 (заполняется физическим лицом)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
        <w:gridCol w:w="3282"/>
        <w:gridCol w:w="3282"/>
        <w:gridCol w:w="3282"/>
      </w:tblGrid>
      <w:tr>
        <w:tc>
          <w:tcPr>
            <w:tcW w:type="dxa" w:w="3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4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w:t>
            </w:r>
            <w:r>
              <w:rPr>
                <w:rFonts w:ascii="Arial" w:cs="Arial" w:eastAsia="Arial" w:hAnsi="Arial"/>
                <w:sz w:val="24"/>
                <w:szCs w:val="24"/>
              </w:rPr>
              <w:t xml:space="preserve">(предыдущая фамилия)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5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4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4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проживания:</w:t>
            </w:r>
            <w:r>
              <w:rPr>
                <w:rFonts w:ascii="Arial" w:cs="Arial" w:eastAsia="Arial" w:hAnsi="Arial"/>
                <w:sz w:val="24"/>
                <w:szCs w:val="24"/>
              </w:rPr>
              <w:t xml:space="preserve">моб. тел.:</w:t>
            </w:r>
          </w:p>
        </w:tc>
      </w:tr>
      <w:tr>
        <w:tc>
          <w:tcPr>
            <w:tcW w:type="dxa" w:w="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5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bl>
    <w:p>
      <w:pPr>
        <w:spacing w:after="120" w:before="120"/>
        <w:ind w:firstLine="567"/>
        <w:jc w:val="both"/>
      </w:pPr>
      <w:r>
        <w:rPr>
          <w:rFonts w:ascii="Arial" w:cs="Arial" w:eastAsia="Arial" w:hAnsi="Arial"/>
          <w:sz w:val="24"/>
          <w:szCs w:val="24"/>
        </w:rPr>
        <w:t xml:space="preserve">8. Наименование и расположение банков, в которых открыты расчетные и иные счета: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9. ПИН: _________________________________________________________________________________________________</w:t>
      </w:r>
    </w:p>
    <w:p>
      <w:pPr>
        <w:spacing w:after="120"/>
        <w:jc w:val="both"/>
      </w:pPr>
      <w:r>
        <w:rPr>
          <w:rFonts w:ascii="Arial" w:cs="Arial" w:eastAsia="Arial" w:hAnsi="Arial"/>
          <w:sz w:val="24"/>
          <w:szCs w:val="24"/>
        </w:rPr>
        <w:t xml:space="preserve">10. Укажите, были ли в отношении вас выдвинуты обвинения в совершении преступления
 (финансового/экономического и уголовного) в течение последних 3 лет, в том числе в случаях прекращения дела
 или снятия обвинения (да/нет) ______________</w:t>
      </w:r>
    </w:p>
    <w:p>
      <w:pPr>
        <w:spacing w:after="120"/>
        <w:ind w:firstLine="567"/>
        <w:jc w:val="both"/>
      </w:pPr>
      <w:r>
        <w:rPr>
          <w:rFonts w:ascii="Arial" w:cs="Arial" w:eastAsia="Arial" w:hAnsi="Arial"/>
          <w:sz w:val="24"/>
          <w:szCs w:val="24"/>
        </w:rPr>
        <w:t xml:space="preserve">11. При наличии неисполненного судебного решения по уплате своих финансовых обязательств перечислите их:</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12. Я,</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w:t>
      </w:r>
    </w:p>
    <w:p>
      <w:pPr>
        <w:spacing w:after="120"/>
        <w:ind w:firstLine="567"/>
        <w:jc w:val="both"/>
      </w:pPr>
      <w:r>
        <w:rPr>
          <w:rFonts w:ascii="Arial" w:cs="Arial" w:eastAsia="Arial" w:hAnsi="Arial"/>
          <w:sz w:val="24"/>
          <w:szCs w:val="24"/>
        </w:rPr>
        <w:t xml:space="preserve">в соответствии с моими знаниями и информацией по указанным в анкете вопросам.</w:t>
      </w:r>
    </w:p>
    <w:p>
      <w:pPr>
        <w:spacing w:after="120"/>
        <w:ind w:firstLine="567"/>
        <w:jc w:val="both"/>
      </w:pPr>
      <w:r>
        <w:rPr>
          <w:rFonts w:ascii="Arial" w:cs="Arial" w:eastAsia="Arial" w:hAnsi="Arial"/>
          <w:sz w:val="24"/>
          <w:szCs w:val="24"/>
        </w:rPr>
        <w:t xml:space="preserve">______________________________________________ подпись                      "____" _____________________ _____ г.</w:t>
      </w:r>
    </w:p>
    <w:p>
      <w:pPr>
        <w:spacing w:after="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необходимо подписать каждую страницу анкеты;</w:t>
      </w:r>
    </w:p>
    <w:p>
      <w:pPr>
        <w:spacing w:after="120"/>
        <w:ind w:firstLine="567"/>
        <w:jc w:val="both"/>
      </w:pPr>
      <w:r>
        <w:rPr>
          <w:rFonts w:ascii="Arial" w:cs="Arial" w:eastAsia="Arial" w:hAnsi="Arial"/>
          <w:sz w:val="24"/>
          <w:szCs w:val="24"/>
        </w:rPr>
        <w:t xml:space="preserve">- исправления в анкете заверяются словами "исправленному верить" и собственноручной подписью.".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Положению о деятельности оператора обмена виртуальных активов и ведении Реестра операторов обмена виртуальных активов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АНКЕТА
 акционера (учредителя)/участника, бенефициарного владельца оператора обмена виртуальных активов
 (заполняется юридическим лицом)</w:t>
      </w:r>
    </w:p>
    <w:p>
      <w:pPr>
        <w:spacing w:after="120"/>
        <w:ind w:firstLine="567"/>
        <w:jc w:val="both"/>
      </w:pPr>
      <w:r>
        <w:rPr>
          <w:rFonts w:ascii="Arial" w:cs="Arial" w:eastAsia="Arial" w:hAnsi="Arial"/>
          <w:sz w:val="24"/>
          <w:szCs w:val="24"/>
        </w:rPr>
        <w:t xml:space="preserve">1. Наименование юридического лица ________________________________________________________________________</w:t>
      </w:r>
    </w:p>
    <w:p>
      <w:pPr>
        <w:spacing w:after="120"/>
        <w:ind w:firstLine="567"/>
        <w:jc w:val="both"/>
      </w:pPr>
      <w:r>
        <w:rPr>
          <w:rFonts w:ascii="Arial" w:cs="Arial" w:eastAsia="Arial" w:hAnsi="Arial"/>
          <w:sz w:val="24"/>
          <w:szCs w:val="24"/>
        </w:rPr>
        <w:t xml:space="preserve">(указать полное и сокращенное наименование юридического лица)</w:t>
      </w:r>
    </w:p>
    <w:p>
      <w:pPr>
        <w:spacing w:after="120"/>
        <w:ind w:firstLine="567"/>
        <w:jc w:val="both"/>
      </w:pPr>
      <w:r>
        <w:rPr>
          <w:rFonts w:ascii="Arial" w:cs="Arial" w:eastAsia="Arial" w:hAnsi="Arial"/>
          <w:sz w:val="24"/>
          <w:szCs w:val="24"/>
        </w:rPr>
        <w:t xml:space="preserve">2. Юридический адрес ____________________________________________________________________________________</w:t>
      </w:r>
    </w:p>
    <w:p>
      <w:pPr>
        <w:spacing w:after="120"/>
        <w:ind w:firstLine="567"/>
        <w:jc w:val="both"/>
      </w:pPr>
      <w:r>
        <w:rPr>
          <w:rFonts w:ascii="Arial" w:cs="Arial" w:eastAsia="Arial" w:hAnsi="Arial"/>
          <w:sz w:val="24"/>
          <w:szCs w:val="24"/>
        </w:rPr>
        <w:t xml:space="preserve">3. Дата создания _________________________________________________________________________________________</w:t>
      </w:r>
    </w:p>
    <w:p>
      <w:pPr>
        <w:spacing w:after="120"/>
        <w:ind w:firstLine="567"/>
        <w:jc w:val="both"/>
      </w:pPr>
      <w:r>
        <w:rPr>
          <w:rFonts w:ascii="Arial" w:cs="Arial" w:eastAsia="Arial" w:hAnsi="Arial"/>
          <w:sz w:val="24"/>
          <w:szCs w:val="24"/>
        </w:rPr>
        <w:t xml:space="preserve">4. ИНН 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5. Дата регистрации в уполномоченном органе по регистрации юридических лиц</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свидетельства о государственной регистрации/перерегистрации)</w:t>
      </w:r>
    </w:p>
    <w:p>
      <w:pPr>
        <w:spacing w:after="120"/>
        <w:ind w:firstLine="567"/>
        <w:jc w:val="both"/>
      </w:pPr>
      <w:r>
        <w:rPr>
          <w:rFonts w:ascii="Arial" w:cs="Arial" w:eastAsia="Arial" w:hAnsi="Arial"/>
          <w:sz w:val="24"/>
          <w:szCs w:val="24"/>
        </w:rPr>
        <w:t xml:space="preserve">6. Наименование и расположение банков, в которых открыты расчетные и иные счета: _____________________________</w:t>
      </w:r>
    </w:p>
    <w:p>
      <w:pPr>
        <w:spacing w:after="120"/>
        <w:jc w:val="both"/>
      </w:pPr>
      <w:r>
        <w:rPr>
          <w:rFonts w:ascii="Arial" w:cs="Arial" w:eastAsia="Arial" w:hAnsi="Arial"/>
          <w:sz w:val="24"/>
          <w:szCs w:val="24"/>
        </w:rPr>
        <w:t xml:space="preserve">7. Укажите, имеет ли юридическое лицо акционеров (участников) - физических лиц, постоянно проживающих
 в оффшорной зоне: ______________________________________________________________________________________</w:t>
      </w:r>
    </w:p>
    <w:p>
      <w:pPr>
        <w:spacing w:after="120"/>
        <w:jc w:val="both"/>
      </w:pPr>
      <w:r>
        <w:rPr>
          <w:rFonts w:ascii="Arial" w:cs="Arial" w:eastAsia="Arial" w:hAnsi="Arial"/>
          <w:sz w:val="24"/>
          <w:szCs w:val="24"/>
        </w:rPr>
        <w:t xml:space="preserve">8. Укажите, вовлечено ли юридическое лицо в судебные споры с кем-либо по финансовой деятельности,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 за последние три года</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9. При наличии неисполненного судебного решения по уплате своих финансовых обязательств перечислите их:</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Подпись руководителя юридического лица</w:t>
      </w:r>
    </w:p>
    <w:p>
      <w:pPr>
        <w:spacing w:after="120"/>
        <w:ind w:firstLine="567"/>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sdt199gyfxtlqj-dagui">
      <w:r>
        <w:rPr>
          <w:rFonts w:ascii="Arial" w:cs="Arial" w:eastAsia="Arial" w:hAnsi="Arial"/>
          <w:color w:val="132D3F"/>
          <w:sz w:val="16"/>
          <w:szCs w:val="16"/>
          <w:u w:val="single"/>
        </w:rPr>
        <w:t xml:space="preserve">dalil.kg/document/230021058</w:t>
      </w:r>
    </w:hyperlink>
  </w:p>
  <w:p>
    <w:pPr>
      <w:spacing w:after="0" w:before="40"/>
      <w:jc w:val="center"/>
    </w:pPr>
    <w:hyperlink w:history="1" r:id="rIdn9fzq0xuivifkkrc5vx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m_p1ei6d9tdg4_opifs" Type="http://schemas.openxmlformats.org/officeDocument/2006/relationships/hyperlink" Target="https://dalil.kg/document/230021522" TargetMode="External"/><Relationship Id="rIdn5dtvirlzrcbtbsgvpcr2" Type="http://schemas.openxmlformats.org/officeDocument/2006/relationships/hyperlink" Target="https://dalil.kg/document/112346#st_10" TargetMode="External"/><Relationship Id="rIddd905kr-atrdaninpn334" Type="http://schemas.openxmlformats.org/officeDocument/2006/relationships/hyperlink" Target="https://dalil.kg/document/112346#st_16" TargetMode="External"/><Relationship Id="rIdk947mtdr7rf-i7go83fmn" Type="http://schemas.openxmlformats.org/officeDocument/2006/relationships/hyperlink" Target="https://dalil.kg/document/112346#st_18" TargetMode="External"/><Relationship Id="rIdrsmi5lamkwg0__y2re0p1" Type="http://schemas.openxmlformats.org/officeDocument/2006/relationships/hyperlink" Target="https://dalil.kg/document/112346#st_25" TargetMode="External"/><Relationship Id="rIdjaswxca2lr5n9p_ldtewz" Type="http://schemas.openxmlformats.org/officeDocument/2006/relationships/hyperlink" Target="https://dalil.kg/document/112346#st_27" TargetMode="External"/><Relationship Id="rIddazz1le-ww-esqfgalwmv" Type="http://schemas.openxmlformats.org/officeDocument/2006/relationships/hyperlink" Target="https://dalil.kg/document/112346#st_28" TargetMode="External"/><Relationship Id="rIdtcdowqmcxbg5natc2u2va" Type="http://schemas.openxmlformats.org/officeDocument/2006/relationships/hyperlink" Target="https://dalil.kg/document/112301#st_13" TargetMode="External"/><Relationship Id="rIdt8ujxxr-divy4gojvgtiz" Type="http://schemas.openxmlformats.org/officeDocument/2006/relationships/hyperlink" Target="https://dalil.kg/document/112301#st_17" TargetMode="External"/><Relationship Id="rIdqckycaqjbbg8et1hhzxis" Type="http://schemas.openxmlformats.org/officeDocument/2006/relationships/hyperlink" Target="https://dalil.kg/document/158757" TargetMode="External"/><Relationship Id="rIdov6hhldf-ktbosbeiapbx" Type="http://schemas.openxmlformats.org/officeDocument/2006/relationships/hyperlink" Target="https://dalil.kg/document/158758" TargetMode="External"/><Relationship Id="rIdqbcmhz_jjlyqcwi1hrivm" Type="http://schemas.openxmlformats.org/officeDocument/2006/relationships/hyperlink" Target="https://dalil.kg/document/158757" TargetMode="External"/><Relationship Id="rIdwhiytsp9lrthzs8-bdzu3" Type="http://schemas.openxmlformats.org/officeDocument/2006/relationships/hyperlink" Target="https://dalil.kg/document/230005951" TargetMode="External"/><Relationship Id="rId41tkctte3ec8-fy_jorth" Type="http://schemas.openxmlformats.org/officeDocument/2006/relationships/hyperlink" Target="https://dalil.kg/document/230005951" TargetMode="External"/><Relationship Id="rIdy-jsgcwziujmgy6wnwo_p" Type="http://schemas.openxmlformats.org/officeDocument/2006/relationships/hyperlink" Target="https://dalil.kg/document/230005951" TargetMode="External"/><Relationship Id="rId54n2qjdoqpj5qwtcvzrtn" Type="http://schemas.openxmlformats.org/officeDocument/2006/relationships/hyperlink" Target="https://dalil.kg/document/230005951" TargetMode="External"/><Relationship Id="rIdme6xhqq2sb1t1tvybswfn" Type="http://schemas.openxmlformats.org/officeDocument/2006/relationships/hyperlink" Target="https://dalil.kg/document/112346" TargetMode="External"/><Relationship Id="rId3rvm1nqbv9pjs6ksqvogm" Type="http://schemas.openxmlformats.org/officeDocument/2006/relationships/hyperlink" Target="https://dalil.kg/document/11234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sdt199gyfxtlqj-dagui" Type="http://schemas.openxmlformats.org/officeDocument/2006/relationships/hyperlink" Target="https://dalil.kg/document/230021058" TargetMode="External"/><Relationship Id="rIdn9fzq0xuivifkkrc5vx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2026-09-27T15:58:48.858Z</dcterms:created>
  <dcterms:modified xsi:type="dcterms:W3CDTF">2026-09-27T15:58:48.858Z</dcterms:modified>
</cp:coreProperties>
</file>

<file path=docProps/custom.xml><?xml version="1.0" encoding="utf-8"?>
<Properties xmlns="http://schemas.openxmlformats.org/officeDocument/2006/custom-properties" xmlns:vt="http://schemas.openxmlformats.org/officeDocument/2006/docPropsVTypes"/>
</file>