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2024 года № 176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коммуникаций Кыргызской Республики "Об утверждении Положения о порядке планирования и выполнения работ по ремонту и содержанию автомобильных дорог и дорожных сооружений в Кыргызской Республике" от 2 мая 2017 года № 162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статьи 25 Закона Кыргызской Республики "Об автомобильных дорогах", в соответствии с </w:t>
      </w:r>
      <w:hyperlink w:history="1" r:id="rIdi7ft9onjnlpgffxo72q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o-sdl0glsfbxawexg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 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 транспорта и дорог Кыргызской Республики "Об утверждении </w:t>
      </w:r>
      <w:hyperlink w:history="1" r:id="rIdtggiixvinkcnpktt44k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Республике" от 2 мая 2017 года № 162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c2j--9r21twxswl9qqa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планирования и проведения работ по ремонту и содержанию автомобильных дорог общего пользования и дорожных сооружений в Кыргызской Республике, утвержденное названным </w:t>
      </w:r>
      <w:hyperlink w:history="1" r:id="rIdkmarn-i7trznnhwvdni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</w:t>
      </w:r>
      <w:hyperlink w:history="1" r:id="rId5mtze2lazxzupq5-ayk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 </w:t>
        </w:r>
      </w:hyperlink>
      <w:r>
        <w:rPr>
          <w:rFonts w:ascii="Arial" w:cs="Arial" w:eastAsia="Arial" w:hAnsi="Arial"/>
          <w:sz w:val="24"/>
          <w:szCs w:val="24"/>
        </w:rPr>
        <w:t xml:space="preserve">дополнить подпунктами 3, 4, 5, 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состав задания на проектирование автомобильных дорог устанавливается в соответствии с требованиями правил проектирования автомобильных дорог Технического регламента Таможенного союза "Безопасность автомобильных дорог" (ТР ТС 014/2011) (далее - технический регламент), в том числе при необходимости требованиями по устройству сооружений связи (линейно-кабельные).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требования определяются заказчиком по согласованию с государственным органом исполнительной власти, вырабатывающим и реализующим государственную политику в области цифровизации, и/или профильными бизнес-ассоциациями;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разработке проектной документации для строительства, реконструкции автомобильной дороги должны быть предусмотрены места и пересечения для размещения сооружений связи вдоль проектируемой автомобильной дороги, согласованные с уполномоченным государственным органом в сфере цифровизации на соответствие программе перспективного развития отрасли электросвязи.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Варианты размещения сооружений связи определяются проектной организацией согласно действующим на территории Кыргызской Республики нормативным требованиям и экономическим и техническим возможностям.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стесненных условиях допускается устройство сооружений связи в земляном полотне;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виды и объемы работ в задании определяются на основании технического обследования объектов, интенсивности, грузонапряженности и организации безопасности дорожного движения, необходимости в сооружениях связи, которые должны выполняться до утверждения задания на проектирование;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планируемое строительство сооружений связи вдоль автомобильной дороги должно быть согласовано заинтересованными лицами с уполномоченным государственным органом в сфере транспорта и коммуникаций территориальными органами по градостроительству и архитектуре.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взаимодействия по их строительству и дальнейшему использованию регулируются на договорной основе.".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Пресс-секретарю К.Р.Досумбетову обеспечить опубликование настоящего приказа в газете "Эркин-Тоо", на официальном веб-сайте Кабинета Министров Кыргызской Республики, а также на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автомобильных дорог Министерства транспорта и коммуникаций Кыргызской Республики Б.С.Дыканбаеву: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2024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транспорта и коммуникаций Кыргызской Республики Т.О.Солтобаева.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 транспорта и коммуникаций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А.Сыргабаев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b7z_ba0nkbef5l5m7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dalil.kg/document/230021304</w:t>
      </w:r>
    </w:hyperlink>
  </w:p>
  <w:p>
    <w:pPr>
      <w:spacing w:after="0" w:before="40"/>
      <w:jc w:val="center"/>
    </w:pPr>
    <w:hyperlink w:history="1" r:id="rIdn9xc3wfsaa-3_8_cm_9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ft9onjnlpgffxo72qy3" Type="http://schemas.openxmlformats.org/officeDocument/2006/relationships/hyperlink" Target="https://dalil.kg/document/160035" TargetMode="External"/><Relationship Id="rIdmo-sdl0glsfbxawexg1oc" Type="http://schemas.openxmlformats.org/officeDocument/2006/relationships/hyperlink" Target="https://dalil.kg/document/200110" TargetMode="External"/><Relationship Id="rIdtggiixvinkcnpktt44k-k" Type="http://schemas.openxmlformats.org/officeDocument/2006/relationships/hyperlink" Target="https://dalil.kg/document/200111" TargetMode="External"/><Relationship Id="rIdc2j--9r21twxswl9qqa1j" Type="http://schemas.openxmlformats.org/officeDocument/2006/relationships/hyperlink" Target="https://dalil.kg/document/200111" TargetMode="External"/><Relationship Id="rIdkmarn-i7trznnhwvdniqr" Type="http://schemas.openxmlformats.org/officeDocument/2006/relationships/hyperlink" Target="https://dalil.kg/document/200110" TargetMode="External"/><Relationship Id="rId5mtze2lazxzupq5-aykkt" Type="http://schemas.openxmlformats.org/officeDocument/2006/relationships/hyperlink" Target="https://dalil.kg/document/2001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b7z_ba0nkbef5l5m7bk" Type="http://schemas.openxmlformats.org/officeDocument/2006/relationships/hyperlink" Target="https://dalil.kg/document/230021304" TargetMode="External"/><Relationship Id="rIdn9xc3wfsaa-3_8_cm_9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2026-09-27T14:57:39.277Z</dcterms:created>
  <dcterms:modified xsi:type="dcterms:W3CDTF">2026-09-27T14:57:39.277Z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