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февраля 2025 года № 95-р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Вашингтон, ратифицированного </w:t>
      </w:r>
      <w:hyperlink w:history="1" r:id="rIdal0qrsnf8hhz1ghx80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Вашингтон", в части реализации компонента 2 "Укрепление агропродовольственных кластеров",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peelruyeiv6sq9klc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марта 2024 года № 102-р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открыть счет в Национальном банке Кыргызской Республики в национальной валюте Кыргызской Республики с целью аккумулирования возвратных средств по второму проекту "Региональное экономическое развитие" в Баткенской области для дальнейшего их использования по решению Кабинета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проекте</w:t>
      </w:r>
      <w:r>
        <w:rPr>
          <w:rFonts w:ascii="Arial" w:cs="Arial" w:eastAsia="Arial" w:hAnsi="Arial"/>
          <w:sz w:val="24"/>
          <w:szCs w:val="24"/>
        </w:rPr>
        <w:t xml:space="preserve"> "Товарный кредит и грант на развитие сельскохозяйственной продукции для производителей Баткенской области",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"Товарный кредит":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вторую-четвертую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2"/>
        <w:gridCol w:w="8256"/>
      </w:tblGrid>
      <w:tr>
        <w:tc>
          <w:tcPr>
            <w:tcW w:type="dxa" w:w="1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кредитования</w:t>
            </w:r>
          </w:p>
        </w:tc>
        <w:tc>
          <w:tcPr>
            <w:tcW w:type="dxa" w:w="8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Установление следующих размеров: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одного сельскохозяйственного производителя - до 2000000 (два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кооперативов, фермерских хозяйств, семеноводческих хозяйств, племенных хозяйств - до 20000000 (двадцать миллионов)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пищевой и перерабатывающей промышленности, агро-торгово-логистических центров, поставщиков сельскохозяйственных товаров и услуг - до 35000000 (тридцать пять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этом сумма на создание 1 цепочки добавленной стоимости (продуктивного партнерства) не должна превышать 100000000 (сто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повышения эффективности использования кредитных средств и оперативного управления Комитет продуктивного партнерства проектных предложений при Министерстве водных ресурсов, сельского хозяйства и перерабатывающей промышленности Кыргызской Республики наделен полномочиями перераспределять неосвоенные средства между цепочками добавленной стоимости</w:t>
            </w:r>
          </w:p>
        </w:tc>
      </w:tr>
      <w:tr>
        <w:tc>
          <w:tcPr>
            <w:tcW w:type="dxa" w:w="1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категорий</w:t>
            </w:r>
          </w:p>
        </w:tc>
        <w:tc>
          <w:tcPr>
            <w:tcW w:type="dxa" w:w="8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индивидуальный сельскохозяйственный производитель/индивидуальный предприниматель в сфере сельского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фермерские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сельскохозяйственные кооперативы;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семеноводческие и племенные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предприятия пищевой и перерабатывающей промышленности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агро-торгово-логистические центры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поставщики, предоставляющие сельскохозяйственные товары и услуги, независимо от формы регистрации предпринимательской деятельности</w:t>
            </w:r>
          </w:p>
        </w:tc>
      </w:tr>
      <w:tr>
        <w:tc>
          <w:tcPr>
            <w:tcW w:type="dxa" w:w="1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участия в проекте</w:t>
            </w:r>
          </w:p>
        </w:tc>
        <w:tc>
          <w:tcPr>
            <w:tcW w:type="dxa" w:w="8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в цепочке добавленной стоимости (продуктивное партнерство).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задолженности заемщика по ранее выданным бюджетным кредитам;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просроченной задолженности заемщика по уплате налогов, отчислений в Социальный фонд при Кабинете Министров Кыргызской Республики и других обязательных платежей в бюджет, установленных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субъектом, реализующим стартап-проекты в соответствии с нормами </w:t>
            </w:r>
            <w:hyperlink w:history="1" r:id="rIdogrflzptdd_-t4oqcjz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hyperlink w:history="1" r:id="rId30sut4q7yyocogagvjy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ojmpctm51vdaqqlus9d-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3"/>
        <w:gridCol w:w="8215"/>
      </w:tblGrid>
      <w:tr>
        <w:tc>
          <w:tcPr>
            <w:tcW w:type="dxa" w:w="1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субсидирования</w:t>
            </w:r>
          </w:p>
        </w:tc>
        <w:tc>
          <w:tcPr>
            <w:tcW w:type="dxa" w:w="8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от стоимости товара за счет средств проекта на следующие цели: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оборудования сортировки, переработки и упаковки сельскохозяйственной продукции, а также приобретение строительных материалов, оборудования, необходимых для строительства торгово-логистических центров, предприятий переработки;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инфраструктуры дождевально-капельной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высокопродуктивных племенных сельскохозяйственных животных и посадочных материалов плодово-ягодных культур на безвирусной основе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строке главы 2 "На грантовой основе" слова "2200000 (два миллиона двести тысяч)" заменить словами "10000000 (десять миллионов)".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fhve9tn_5d4rhecqe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dalil.kg/document/230022858</w:t>
      </w:r>
    </w:hyperlink>
  </w:p>
  <w:p>
    <w:pPr>
      <w:spacing w:after="0" w:before="40"/>
      <w:jc w:val="center"/>
    </w:pPr>
    <w:hyperlink w:history="1" r:id="rIdisa9feiyvz8lakh3wx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0qrsnf8hhz1ghx80ggj" Type="http://schemas.openxmlformats.org/officeDocument/2006/relationships/hyperlink" Target="https://dalil.kg/document/112397" TargetMode="External"/><Relationship Id="rIdpcpeelruyeiv6sq9klc6z" Type="http://schemas.openxmlformats.org/officeDocument/2006/relationships/hyperlink" Target="https://dalil.kg/document/230002839" TargetMode="External"/><Relationship Id="rIdogrflzptdd_-t4oqcjzgb" Type="http://schemas.openxmlformats.org/officeDocument/2006/relationships/hyperlink" Target="https://dalil.kg/document/159372" TargetMode="External"/><Relationship Id="rId30sut4q7yyocogagvjyja" Type="http://schemas.openxmlformats.org/officeDocument/2006/relationships/hyperlink" Target="https://dalil.kg/document/159364" TargetMode="External"/><Relationship Id="rIdojmpctm51vdaqqlus9d-_" Type="http://schemas.openxmlformats.org/officeDocument/2006/relationships/hyperlink" Target="https://dalil.kg/document/1593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fhve9tn_5d4rhecqeho" Type="http://schemas.openxmlformats.org/officeDocument/2006/relationships/hyperlink" Target="https://dalil.kg/document/230022858" TargetMode="External"/><Relationship Id="rIdisa9feiyvz8lakh3wxv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2026-09-27T05:23:34.682Z</dcterms:created>
  <dcterms:modified xsi:type="dcterms:W3CDTF">2026-09-27T05:23:34.682Z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