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99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</w:t>
      </w:r>
      <w:r>
        <w:rPr>
          <w:rFonts w:ascii="Arial" w:cs="Arial" w:eastAsia="Arial" w:hAnsi="Arial"/>
          <w:sz w:val="24"/>
          <w:szCs w:val="24"/>
        </w:rPr>
        <w:t xml:space="preserve">и совершенствования механизмов предоставления государственных (консульских) услуг гражданам Кыргызской Республики за рубежом,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igyw6wth4o9p8-cpk7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цифры «2025» заменить цифрами «2026»;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fnijv1zfjvzjdmhf1k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–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 случае отсутствия ПИН у лица, не достигшего 16-летнего возраста, который в соответствии с частью 1 статьи 12 Закона Кыргызской Республики «О гражданстве Кыргызской Республики» является гражданином Кыргызской Республики по рождению, для получения государственных (консульских) услуг, указанных в приложении к настоящему Временному положению, работник загранучреждения Кыргызской Республики осуществляет прием документов на присвоение ПИН и направляет 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консульскому должностному лицу на рассмотрение и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документов на присвоение ПИН осуществляется посредством АИС.».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cedffbw9-bhj1bogf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dalil.kg/document/230023029</w:t>
      </w:r>
    </w:hyperlink>
  </w:p>
  <w:p>
    <w:pPr>
      <w:spacing w:after="0" w:before="40"/>
      <w:jc w:val="center"/>
    </w:pPr>
    <w:hyperlink w:history="1" r:id="rIdd3ay4foejlvujksoihp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yw6wth4o9p8-cpk75jy" Type="http://schemas.openxmlformats.org/officeDocument/2006/relationships/hyperlink" Target="https://dalil.kg/document/230001803" TargetMode="External"/><Relationship Id="rIdfnijv1zfjvzjdmhf1kuoq" Type="http://schemas.openxmlformats.org/officeDocument/2006/relationships/hyperlink" Target="https://dalil.kg/document/230001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cedffbw9-bhj1bogfvv" Type="http://schemas.openxmlformats.org/officeDocument/2006/relationships/hyperlink" Target="https://dalil.kg/document/230023029" TargetMode="External"/><Relationship Id="rIdd3ay4foejlvujksoihp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2026-09-26T21:43:03.700Z</dcterms:created>
  <dcterms:modified xsi:type="dcterms:W3CDTF">2026-09-26T21:43:03.700Z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