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 1</w:t>
      </w:r>
    </w:p>
    <w:p>
      <w:pPr>
        <w:spacing w:after="120"/>
        <w:jc w:val="center"/>
      </w:pPr>
      <w:r>
        <w:rPr>
          <w:rFonts w:ascii="Arial" w:cs="Arial" w:eastAsia="Arial" w:hAnsi="Arial"/>
          <w:i/>
          <w:iCs/>
          <w:sz w:val="24"/>
          <w:szCs w:val="24"/>
        </w:rPr>
        <w:t xml:space="preserve">(к </w:t>
      </w:r>
      <w:hyperlink w:history="1" r:id="rIdbwxrvrpehgo_yj2jfvlst">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Кабинета Министров Кыргызской Республики
 от 20 февраля 2025 года № 81)</w:t>
      </w:r>
    </w:p>
    <w:p>
      <w:pPr>
        <w:spacing w:after="400" w:before="400"/>
        <w:jc w:val="center"/>
      </w:pPr>
      <w:r>
        <w:rPr>
          <w:rFonts w:ascii="Arial" w:cs="Arial" w:eastAsia="Arial" w:hAnsi="Arial"/>
          <w:b/>
          <w:bCs/>
          <w:sz w:val="32"/>
          <w:szCs w:val="32"/>
        </w:rPr>
        <w:t xml:space="preserve">ПРОГРАММА
 формирования и развития опорных точек роста в регионах Кыргызской Республики на 2025-2030 годы</w:t>
      </w:r>
    </w:p>
    <w:p>
      <w:pPr>
        <w:spacing w:after="120"/>
        <w:jc w:val="center"/>
      </w:pPr>
      <w:r>
        <w:rPr>
          <w:rFonts w:ascii="Arial" w:cs="Arial" w:eastAsia="Arial" w:hAnsi="Arial"/>
          <w:i/>
          <w:iCs/>
          <w:sz w:val="24"/>
          <w:szCs w:val="24"/>
        </w:rPr>
        <w:t xml:space="preserve">(В редакции постановления Кабинета Министров КР от </w:t>
      </w:r>
      <w:hyperlink w:history="1" r:id="rIdhjtf6svmhdilstcrlkbpy">
        <w:r>
          <w:rPr>
            <w:rFonts w:ascii="Arial" w:cs="Arial" w:eastAsia="Arial" w:hAnsi="Arial"/>
            <w:i/>
            <w:iCs/>
            <w:color w:val="1D4ED8"/>
            <w:sz w:val="24"/>
            <w:szCs w:val="24"/>
            <w:u w:val="single"/>
          </w:rPr>
          <w:t xml:space="preserve">30 октября 2025 года № 708</w:t>
        </w:r>
      </w:hyperlink>
      <w:r>
        <w:rPr>
          <w:rFonts w:ascii="Arial" w:cs="Arial" w:eastAsia="Arial" w:hAnsi="Arial"/>
          <w:i/>
          <w:iCs/>
          <w:sz w:val="24"/>
          <w:szCs w:val="24"/>
        </w:rPr>
        <w:t xml:space="preserve">)</w:t>
      </w:r>
    </w:p>
    <w:p>
      <w:pPr>
        <w:spacing w:after="200" w:before="200"/>
        <w:jc w:val="center"/>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Введение</w:t>
      </w:r>
    </w:p>
    <w:p>
      <w:pPr>
        <w:spacing w:after="60"/>
        <w:ind w:firstLine="567"/>
        <w:jc w:val="both"/>
      </w:pPr>
      <w:r>
        <w:rPr>
          <w:rFonts w:ascii="Arial" w:cs="Arial" w:eastAsia="Arial" w:hAnsi="Arial"/>
          <w:sz w:val="24"/>
          <w:szCs w:val="24"/>
        </w:rPr>
        <w:t xml:space="preserve">Программа формирования и развития опорных точек роста в регионах Кыргызской Республики на 2025-2030 годы (далее - Программа) направлена на реализацию </w:t>
      </w:r>
      <w:hyperlink w:history="1" r:id="rId4scyunfueidrcumic4pll">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 Республики "О дальнейших мерах по совершенствованию административно-территориального устройства и развитию регионов Кыргызской Республики" от 18 октября 2022 года № 350, положений Национальной стратегии развития Кыргызской Республики на 2018-2040 годы, Национальной программы развития Кыргызской Республики до 2026 года, предусматривающих развитие крупных региональных населенных пунктов как опорных точек роста.</w:t>
      </w:r>
    </w:p>
    <w:p>
      <w:pPr>
        <w:spacing w:after="60"/>
        <w:ind w:firstLine="567"/>
        <w:jc w:val="both"/>
      </w:pPr>
      <w:r>
        <w:rPr>
          <w:rFonts w:ascii="Arial" w:cs="Arial" w:eastAsia="Arial" w:hAnsi="Arial"/>
          <w:sz w:val="24"/>
          <w:szCs w:val="24"/>
        </w:rPr>
        <w:t xml:space="preserve">Опорные точки роста - это административно-территориальные единицы Кыргызской Республики, в которых созданы благоприятные условия для экономических и социальных активностей, способствующих развитию прилегающих территорий или всего региона. Опорной точкой роста является город или регион, которой государством будет оказываться поддержка в создании и реализации благоприятных условий для инновационной деятельности, стимулирующей экономическое и социальное развитие городов и регионов.</w:t>
      </w:r>
    </w:p>
    <w:p>
      <w:pPr>
        <w:spacing w:after="60"/>
        <w:ind w:firstLine="567"/>
        <w:jc w:val="both"/>
      </w:pPr>
      <w:r>
        <w:rPr>
          <w:rFonts w:ascii="Arial" w:cs="Arial" w:eastAsia="Arial" w:hAnsi="Arial"/>
          <w:sz w:val="24"/>
          <w:szCs w:val="24"/>
        </w:rPr>
        <w:t xml:space="preserve">С точки зрения экономики целью формирования опорных точек роста является создание конкурентных преимуществ субъектам предпринимательства и благоприятного инвестиционного климата по сравнению с аналогичными производствами соседних регионов или других стран. Опорные точки роста также являются лидерами в развитии гуманитарной, социальной сфер, которые формируют соответствующую политику на уровне региона в области образования, здравоохранения, культуры, социальной защиты. Определяющая роль в создании опорных точек роста и распространении вызванных ими эффектов развития отводится государственным органам и органам местного самоуправления.</w:t>
      </w:r>
    </w:p>
    <w:p>
      <w:pPr>
        <w:spacing w:after="60"/>
        <w:ind w:firstLine="567"/>
        <w:jc w:val="both"/>
      </w:pPr>
      <w:r>
        <w:rPr>
          <w:rFonts w:ascii="Arial" w:cs="Arial" w:eastAsia="Arial" w:hAnsi="Arial"/>
          <w:sz w:val="24"/>
          <w:szCs w:val="24"/>
        </w:rPr>
        <w:t xml:space="preserve">Настоящая Программа предусматривает усиление роли государства в формировании опорных точек роста, предоставления заинтересованным сторонам эффективных методов и инструментов поддержки инициатив субъектов развития при формировании опорных точек роста. В связи с проводимой в Кыргызской Республике административно-территориальной реформы, в результате которой созданы предпосылки для объединения ресурсов в рамках образованных на уровне айыльных аймаков и городов новых административно-территориальных единиц, Программа имеет особое значение.</w:t>
      </w:r>
    </w:p>
    <w:p>
      <w:pPr>
        <w:spacing w:after="60"/>
        <w:ind w:firstLine="567"/>
        <w:jc w:val="both"/>
      </w:pPr>
      <w:r>
        <w:rPr>
          <w:rFonts w:ascii="Arial" w:cs="Arial" w:eastAsia="Arial" w:hAnsi="Arial"/>
          <w:sz w:val="24"/>
          <w:szCs w:val="24"/>
        </w:rPr>
        <w:t xml:space="preserve">Программа является документом, предусматривающим задачи и меры для государственных органов и органов местного самоуправления по созданию благоприятных условий для формирования и развития опорных точек роста.</w:t>
      </w:r>
    </w:p>
    <w:p>
      <w:pPr>
        <w:spacing w:after="60"/>
        <w:ind w:firstLine="567"/>
        <w:jc w:val="both"/>
      </w:pPr>
      <w:r>
        <w:rPr>
          <w:rFonts w:ascii="Arial" w:cs="Arial" w:eastAsia="Arial" w:hAnsi="Arial"/>
          <w:sz w:val="24"/>
          <w:szCs w:val="24"/>
        </w:rPr>
        <w:t xml:space="preserve">Опорными точками роста в регионах Кыргызской Республики станут областные центры. Данное решение обусловлено тем, что областные центры обладают потенциалом и условиями, характеризующими опорную точку роста. Областные центры, исходя из исторически определенной роли и социально-экономическому положению, бесспорно являются опорными точками роста на территории областей. С 2022 года из республиканского бюджета выделяются целевые трансферты на поддержку социально-экономического развития городов Каракол, Джалал-Абад, Токмок, Кара-Балта, Талас и других малых городов.</w:t>
      </w:r>
    </w:p>
    <w:p>
      <w:pPr>
        <w:spacing w:after="60"/>
        <w:ind w:firstLine="567"/>
        <w:jc w:val="both"/>
      </w:pPr>
      <w:r>
        <w:rPr>
          <w:rFonts w:ascii="Arial" w:cs="Arial" w:eastAsia="Arial" w:hAnsi="Arial"/>
          <w:sz w:val="24"/>
          <w:szCs w:val="24"/>
        </w:rPr>
        <w:t xml:space="preserve">Таким образом, предоставляется возможность концентрировать и развивать экономические и социальные активности, которые дадут толчок в целом для развития всего региона.</w:t>
      </w:r>
    </w:p>
    <w:p>
      <w:pPr>
        <w:spacing w:after="60"/>
        <w:ind w:firstLine="567"/>
        <w:jc w:val="both"/>
      </w:pPr>
      <w:r>
        <w:rPr>
          <w:rFonts w:ascii="Arial" w:cs="Arial" w:eastAsia="Arial" w:hAnsi="Arial"/>
          <w:sz w:val="24"/>
          <w:szCs w:val="24"/>
        </w:rPr>
        <w:t xml:space="preserve">В рамках реализации </w:t>
      </w:r>
      <w:hyperlink w:history="1" r:id="rIdv213twtnqgbr_ohlf0mwj">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 Республики "О пилотном проекте по передаче районных/региональных подразделений и представительств министерств и ведомств Кыргызской Республики во временное руководство пилотных местных государственных администраций" от 15 ноября 2024 года № 326 в опорные точки роста будут включены город Узген Узгенского района Ошской области и город Кант Ысык-Атинского района Чуйской области, развитие которых будет поддерживаться за счет средств республиканского бюджета на 2025 год.</w:t>
      </w:r>
    </w:p>
    <w:p>
      <w:pPr>
        <w:spacing w:after="60"/>
        <w:ind w:firstLine="567"/>
        <w:jc w:val="both"/>
      </w:pPr>
      <w:r>
        <w:rPr>
          <w:rFonts w:ascii="Arial" w:cs="Arial" w:eastAsia="Arial" w:hAnsi="Arial"/>
          <w:sz w:val="24"/>
          <w:szCs w:val="24"/>
        </w:rPr>
        <w:t xml:space="preserve">Остальные города, а также айылные аймаки могут быть включены в опорные точки роста на основании разработанных программ развития, охватывающих среднесрочный период, мастер-планов, соответствия критериям опорной точки роста и стандартам развития. </w:t>
      </w:r>
    </w:p>
    <w:p>
      <w:pPr>
        <w:spacing w:after="60"/>
        <w:ind w:firstLine="567"/>
        <w:jc w:val="both"/>
      </w:pPr>
      <w:r>
        <w:rPr>
          <w:rFonts w:ascii="Arial" w:cs="Arial" w:eastAsia="Arial" w:hAnsi="Arial"/>
          <w:sz w:val="24"/>
          <w:szCs w:val="24"/>
        </w:rPr>
        <w:t xml:space="preserve">В рамках реализации настоящей Программы также предусматривается создание условий для достижения опорной точкой роста Целей устойчивого развития, которые являются неотъемлемой частью системы мониторинга и оценки Программы.</w:t>
      </w:r>
    </w:p>
    <w:p>
      <w:pPr>
        <w:spacing w:after="200" w:before="200"/>
        <w:jc w:val="center"/>
      </w:pPr>
      <w:r>
        <w:rPr>
          <w:rFonts w:ascii="Arial" w:cs="Arial" w:eastAsia="Arial" w:hAnsi="Arial"/>
          <w:b/>
          <w:bCs/>
          <w:sz w:val="24"/>
          <w:szCs w:val="24"/>
        </w:rPr>
        <w:t xml:space="preserve">Глава 1. Оценка текущей ситуации в регионах Кыргызской Республики</w:t>
      </w:r>
    </w:p>
    <w:p>
      <w:pPr>
        <w:spacing w:after="60"/>
        <w:ind w:firstLine="567"/>
        <w:jc w:val="both"/>
      </w:pPr>
      <w:r>
        <w:rPr>
          <w:rFonts w:ascii="Arial" w:cs="Arial" w:eastAsia="Arial" w:hAnsi="Arial"/>
          <w:sz w:val="24"/>
          <w:szCs w:val="24"/>
        </w:rPr>
        <w:t xml:space="preserve">Задача по формированию опорных точек роста ранее была поставлена в Концепции региональной политики Кыргызской Республики на период 2018-2022 годов. В этот период развития в условиях ограниченности финансовых ресурсов одновременное развитие всех регионов не представлялось возможным. Поэтому были определены 20 населенных пунктов в качестве базовых точек роста регионов - Бишкек, Ош, Каракол, Балыкчы, Нарын, Кочкор, Токмок, Кара-Балта, Талас, Раззаков, Баткен, Кадамжай, Узген, Кара-Суу, Сары-Таш, Таш-Кумыр, Кара-Куль, Джалал-Абад, Кербен, Кочкор-Ата.</w:t>
      </w:r>
    </w:p>
    <w:p>
      <w:pPr>
        <w:spacing w:after="60"/>
        <w:ind w:firstLine="567"/>
        <w:jc w:val="both"/>
      </w:pPr>
      <w:r>
        <w:rPr>
          <w:rFonts w:ascii="Arial" w:cs="Arial" w:eastAsia="Arial" w:hAnsi="Arial"/>
          <w:sz w:val="24"/>
          <w:szCs w:val="24"/>
        </w:rPr>
        <w:t xml:space="preserve">Точки роста регионов должны были взять на себя роль регионального центра интенсивного развития индустриальных парков и промышленных кластеров, объектов социального назначения.</w:t>
      </w:r>
    </w:p>
    <w:p>
      <w:pPr>
        <w:spacing w:after="60"/>
        <w:ind w:firstLine="567"/>
        <w:jc w:val="both"/>
      </w:pPr>
      <w:r>
        <w:rPr>
          <w:rFonts w:ascii="Arial" w:cs="Arial" w:eastAsia="Arial" w:hAnsi="Arial"/>
          <w:sz w:val="24"/>
          <w:szCs w:val="24"/>
        </w:rPr>
        <w:t xml:space="preserve">С учетом ограниченности государственных ресурсов предлагалось на базе разработанных критериев распределить поддержку развития городов на три этапа, сфокусировав на каждом из трех этапов внимание на 5-6 городах. В этих целях в 2020-2021 годах во всех отобранных населенных пунктах были разработаны и утверждены среднесрочные программы социально-экономического развития территорий, которые основывались на приоритетах в экономическом развитии муниципалитетов, создающих условия для развития близлежащих территорий. В отдельных городах начали создаваться благоприятные условия для привлечения инвесторов. В рамках средств государственного бюджета осуществлялось развитие местной инфраструктуры городов и сел.</w:t>
      </w:r>
    </w:p>
    <w:p>
      <w:pPr>
        <w:spacing w:after="60"/>
        <w:ind w:firstLine="567"/>
        <w:jc w:val="both"/>
      </w:pPr>
      <w:r>
        <w:rPr>
          <w:rFonts w:ascii="Arial" w:cs="Arial" w:eastAsia="Arial" w:hAnsi="Arial"/>
          <w:sz w:val="24"/>
          <w:szCs w:val="24"/>
        </w:rPr>
        <w:t xml:space="preserve">Однако поставленные в Концепции региональной политики Кыргызской Республики на период 2018-2022 годов задачи, направленные на развитие точек роста, не были реализованы.</w:t>
      </w:r>
    </w:p>
    <w:p>
      <w:pPr>
        <w:spacing w:after="60"/>
        <w:ind w:firstLine="567"/>
        <w:jc w:val="both"/>
      </w:pPr>
      <w:r>
        <w:rPr>
          <w:rFonts w:ascii="Arial" w:cs="Arial" w:eastAsia="Arial" w:hAnsi="Arial"/>
          <w:sz w:val="24"/>
          <w:szCs w:val="24"/>
        </w:rPr>
        <w:t xml:space="preserve">Ожидаемый результат не был достигнут по следующим причинам, которые остаются актуальными и в настоящее время:</w:t>
      </w:r>
    </w:p>
    <w:p>
      <w:pPr>
        <w:spacing w:after="60"/>
        <w:ind w:firstLine="567"/>
        <w:jc w:val="both"/>
      </w:pPr>
      <w:r>
        <w:rPr>
          <w:rFonts w:ascii="Arial" w:cs="Arial" w:eastAsia="Arial" w:hAnsi="Arial"/>
          <w:sz w:val="24"/>
          <w:szCs w:val="24"/>
        </w:rPr>
        <w:t xml:space="preserve">1) недостаточность у органов местного самоуправления собственных финансовых, материальных ресурсов, а также потенциала для эффективной реализации программ социально-экономического развития городов;</w:t>
      </w:r>
    </w:p>
    <w:p>
      <w:pPr>
        <w:spacing w:after="60"/>
        <w:ind w:firstLine="567"/>
        <w:jc w:val="both"/>
      </w:pPr>
      <w:r>
        <w:rPr>
          <w:rFonts w:ascii="Arial" w:cs="Arial" w:eastAsia="Arial" w:hAnsi="Arial"/>
          <w:sz w:val="24"/>
          <w:szCs w:val="24"/>
        </w:rPr>
        <w:t xml:space="preserve">2) органы местного самоуправления не придерживаются принципа преемственности при смене руководства исполнительного органа местного самоуправления и состава депутатов местного кенеша. Поэтому, как правило, новый состав органа местного самоуправления не рассматривает программу социально-экономического развития города как документ, необходимый для продолжения реализации;</w:t>
      </w:r>
    </w:p>
    <w:p>
      <w:pPr>
        <w:spacing w:after="60"/>
        <w:ind w:firstLine="567"/>
        <w:jc w:val="both"/>
      </w:pPr>
      <w:r>
        <w:rPr>
          <w:rFonts w:ascii="Arial" w:cs="Arial" w:eastAsia="Arial" w:hAnsi="Arial"/>
          <w:sz w:val="24"/>
          <w:szCs w:val="24"/>
        </w:rPr>
        <w:t xml:space="preserve">3) местные кенеши не в полной мере выполняют свои обязательства по мониторингу и оценке исполнения Программ социально-экономического развития городов. Поэтому исполнительные органы местного самоуправления не предпринимали больших усилий по исполнению программ социально-экономического развития городов;</w:t>
      </w:r>
    </w:p>
    <w:p>
      <w:pPr>
        <w:spacing w:after="60"/>
        <w:ind w:firstLine="567"/>
        <w:jc w:val="both"/>
      </w:pPr>
      <w:r>
        <w:rPr>
          <w:rFonts w:ascii="Arial" w:cs="Arial" w:eastAsia="Arial" w:hAnsi="Arial"/>
          <w:sz w:val="24"/>
          <w:szCs w:val="24"/>
        </w:rPr>
        <w:t xml:space="preserve">4) государственными органами исполнительной власти не в достаточной степени предпринимались усилия по контролю реализации органами местного самоуправления положений Концепции региональной политики Кыргызской Республики на период 2018-2022 годов по развитию точек роста.</w:t>
      </w:r>
    </w:p>
    <w:p>
      <w:pPr>
        <w:spacing w:after="60"/>
        <w:ind w:firstLine="567"/>
        <w:jc w:val="both"/>
      </w:pPr>
      <w:r>
        <w:rPr>
          <w:rFonts w:ascii="Arial" w:cs="Arial" w:eastAsia="Arial" w:hAnsi="Arial"/>
          <w:sz w:val="24"/>
          <w:szCs w:val="24"/>
        </w:rPr>
        <w:t xml:space="preserve">До настоящего времени не выполняются требования Бюджетного кодекса Кыргызской Республики о привязке задач и мер Программ социально-экономического развития городов к бюджетным обязательствам органов местного самоуправления. Поэтому Программа социально-экономического развития города не стала документом, на котором основывается бюджетный процесс.</w:t>
      </w:r>
    </w:p>
    <w:p>
      <w:pPr>
        <w:spacing w:after="60"/>
        <w:ind w:firstLine="567"/>
        <w:jc w:val="both"/>
      </w:pPr>
      <w:r>
        <w:rPr>
          <w:rFonts w:ascii="Arial" w:cs="Arial" w:eastAsia="Arial" w:hAnsi="Arial"/>
          <w:sz w:val="24"/>
          <w:szCs w:val="24"/>
        </w:rPr>
        <w:t xml:space="preserve">В течение последних трех лет впервые начали реализовываться инвестиционные программы по прямой поддержке городов целевыми трансфертами из республиканского бюджета. В 2022 году такая поддержка была предусмотрена для города Каракол в связи с приданием городу статуса культурной столицы Содружества Независимых Государств, в 2023 году целевые трансферты были выделены городу Джалал-Абад.</w:t>
      </w:r>
    </w:p>
    <w:p>
      <w:pPr>
        <w:spacing w:after="60"/>
        <w:ind w:firstLine="567"/>
        <w:jc w:val="both"/>
      </w:pPr>
      <w:r>
        <w:rPr>
          <w:rFonts w:ascii="Arial" w:cs="Arial" w:eastAsia="Arial" w:hAnsi="Arial"/>
          <w:sz w:val="24"/>
          <w:szCs w:val="24"/>
        </w:rPr>
        <w:t xml:space="preserve">В настоящее время продолжается реализация государственной политики, направленной на переориентацию от отраслевого подхода к комплексной модели развития регионов, основанной на их самобытности, специфичности и специализации. Также в регионах усилилась роль фондов развития регионов, объем финансирования которых к 2024 году составил 3 млрд. 850 млн. сомов. От 600 млн. сомов в 2022 году до 1,5 млрд. сомов в 2024 году увеличился объем стимулирующих грантов в поддержку инициатив органов местного самоуправления.</w:t>
      </w:r>
    </w:p>
    <w:p>
      <w:pPr>
        <w:spacing w:after="60"/>
        <w:ind w:firstLine="567"/>
        <w:jc w:val="both"/>
      </w:pPr>
      <w:r>
        <w:rPr>
          <w:rFonts w:ascii="Arial" w:cs="Arial" w:eastAsia="Arial" w:hAnsi="Arial"/>
          <w:sz w:val="24"/>
          <w:szCs w:val="24"/>
        </w:rPr>
        <w:t xml:space="preserve">С учетом опыта работы за прошедший период в настоящей Программе обозначены действия, направленные на усиление деятельности по развитию опорных точек роста.</w:t>
      </w:r>
    </w:p>
    <w:p>
      <w:pPr>
        <w:spacing w:after="60"/>
        <w:ind w:firstLine="567"/>
        <w:jc w:val="both"/>
      </w:pPr>
      <w:r>
        <w:rPr>
          <w:rFonts w:ascii="Arial" w:cs="Arial" w:eastAsia="Arial" w:hAnsi="Arial"/>
          <w:sz w:val="24"/>
          <w:szCs w:val="24"/>
        </w:rPr>
        <w:t xml:space="preserve">Развитие опорных точек роста необходимо рассматривать неразрывно с процессами урбанизации. За период с 2020 по 2023 год численность городского населения в Кыргызской Республике выросла на 10,7%. Учитывая, что на 1 января 2024 года в республике 65,1% населения проживает в сельской местности, можно с большой долей вероятности прогнозировать, что процессы урбанизации в ближайшие годы будут ускоряться. При этом урбанизация - это не только переселение сельских жителей в города, но и интеграция переселившихся граждан в городскую экономику, городскую культуру. Также необходимо учитывать, что согласно данным Национального статистического комитета Кыргызской Республики по внешней миграции населения в 2022 году, впервые за последние десять лет, число прибывших в республику превысило число выбывших, что привело к положительному миграционному сальдо в 5917 человек, прибывших на постоянное место жительство, в 2023 году положительное сальдо миграции достигло 9843 человек. Поэтому опорные точки роста должны стать ключевыми точками процесса урбанизации, примером для других городов по созданию для граждан привлекательных условий для жизни и трудовой деятельности.</w:t>
      </w:r>
    </w:p>
    <w:p>
      <w:pPr>
        <w:spacing w:after="60"/>
        <w:ind w:firstLine="567"/>
        <w:jc w:val="both"/>
      </w:pPr>
      <w:r>
        <w:rPr>
          <w:rFonts w:ascii="Arial" w:cs="Arial" w:eastAsia="Arial" w:hAnsi="Arial"/>
          <w:sz w:val="24"/>
          <w:szCs w:val="24"/>
        </w:rPr>
        <w:t xml:space="preserve">Базовые критерии, характерные для опорной точки роста, включают в себя следующие положения:</w:t>
      </w:r>
    </w:p>
    <w:p>
      <w:pPr>
        <w:spacing w:after="60"/>
        <w:ind w:firstLine="567"/>
        <w:jc w:val="both"/>
      </w:pPr>
      <w:r>
        <w:rPr>
          <w:rFonts w:ascii="Arial" w:cs="Arial" w:eastAsia="Arial" w:hAnsi="Arial"/>
          <w:sz w:val="24"/>
          <w:szCs w:val="24"/>
        </w:rPr>
        <w:t xml:space="preserve">1) наличие перерабатывающей промышленности, ориентированной на сырье, производимое в соответствующем регионе;</w:t>
      </w:r>
    </w:p>
    <w:p>
      <w:pPr>
        <w:spacing w:after="60"/>
        <w:ind w:firstLine="567"/>
        <w:jc w:val="both"/>
      </w:pPr>
      <w:r>
        <w:rPr>
          <w:rFonts w:ascii="Arial" w:cs="Arial" w:eastAsia="Arial" w:hAnsi="Arial"/>
          <w:sz w:val="24"/>
          <w:szCs w:val="24"/>
        </w:rPr>
        <w:t xml:space="preserve">2) наличие производств, конкурентоспособных на региональном и внешнем рынках, ориентированных на экспорт;</w:t>
      </w:r>
    </w:p>
    <w:p>
      <w:pPr>
        <w:spacing w:after="60"/>
        <w:ind w:firstLine="567"/>
        <w:jc w:val="both"/>
      </w:pPr>
      <w:r>
        <w:rPr>
          <w:rFonts w:ascii="Arial" w:cs="Arial" w:eastAsia="Arial" w:hAnsi="Arial"/>
          <w:sz w:val="24"/>
          <w:szCs w:val="24"/>
        </w:rPr>
        <w:t xml:space="preserve">3) удовлетворительное состояние городской инфраструктуры: парков, скверов, дорог, тротуаров, уличного освещения, объектов культуры, спорта, промышленной инфраструктуры;</w:t>
      </w:r>
    </w:p>
    <w:p>
      <w:pPr>
        <w:spacing w:after="60"/>
        <w:ind w:firstLine="567"/>
        <w:jc w:val="both"/>
      </w:pPr>
      <w:r>
        <w:rPr>
          <w:rFonts w:ascii="Arial" w:cs="Arial" w:eastAsia="Arial" w:hAnsi="Arial"/>
          <w:sz w:val="24"/>
          <w:szCs w:val="24"/>
        </w:rPr>
        <w:t xml:space="preserve">4) устойчивая система предоставления базовых услуг: питьевого водоснабжения, энергоснабжения, теплоснабжения, сбора, вывоза и утилизации отходов;</w:t>
      </w:r>
    </w:p>
    <w:p>
      <w:pPr>
        <w:spacing w:after="60"/>
        <w:ind w:firstLine="567"/>
        <w:jc w:val="both"/>
      </w:pPr>
      <w:r>
        <w:rPr>
          <w:rFonts w:ascii="Arial" w:cs="Arial" w:eastAsia="Arial" w:hAnsi="Arial"/>
          <w:sz w:val="24"/>
          <w:szCs w:val="24"/>
        </w:rPr>
        <w:t xml:space="preserve">5) наличие конкурентоспособных высших и средних учебных заведений, активной студенческой среды;</w:t>
      </w:r>
    </w:p>
    <w:p>
      <w:pPr>
        <w:spacing w:after="60"/>
        <w:ind w:firstLine="567"/>
        <w:jc w:val="both"/>
      </w:pPr>
      <w:r>
        <w:rPr>
          <w:rFonts w:ascii="Arial" w:cs="Arial" w:eastAsia="Arial" w:hAnsi="Arial"/>
          <w:sz w:val="24"/>
          <w:szCs w:val="24"/>
        </w:rPr>
        <w:t xml:space="preserve">6) наличие условий для развития городской культуры.</w:t>
      </w:r>
    </w:p>
    <w:p>
      <w:pPr>
        <w:spacing w:after="60"/>
        <w:ind w:firstLine="567"/>
        <w:jc w:val="both"/>
      </w:pPr>
      <w:r>
        <w:rPr>
          <w:rFonts w:ascii="Arial" w:cs="Arial" w:eastAsia="Arial" w:hAnsi="Arial"/>
          <w:sz w:val="24"/>
          <w:szCs w:val="24"/>
        </w:rPr>
        <w:t xml:space="preserve">Опорные точки роста должны внести свой вклад в достижение показателя роста ВВП Кыргызской Республики в объеме до 30 млрд. долларов США к 2030 году.</w:t>
      </w:r>
    </w:p>
    <w:p>
      <w:pPr>
        <w:spacing w:after="200" w:before="200"/>
        <w:jc w:val="center"/>
      </w:pPr>
      <w:r>
        <w:rPr>
          <w:rFonts w:ascii="Arial" w:cs="Arial" w:eastAsia="Arial" w:hAnsi="Arial"/>
          <w:b/>
          <w:bCs/>
          <w:sz w:val="24"/>
          <w:szCs w:val="24"/>
        </w:rPr>
        <w:t xml:space="preserve">Глава 2. Цель Программы</w:t>
      </w:r>
    </w:p>
    <w:p>
      <w:pPr>
        <w:spacing w:after="60"/>
        <w:ind w:firstLine="567"/>
        <w:jc w:val="both"/>
      </w:pPr>
      <w:r>
        <w:rPr>
          <w:rFonts w:ascii="Arial" w:cs="Arial" w:eastAsia="Arial" w:hAnsi="Arial"/>
          <w:sz w:val="24"/>
          <w:szCs w:val="24"/>
        </w:rPr>
        <w:t xml:space="preserve">Цель Программы - обеспечить создание в опорных точках роста благоприятных условий для привлечения экономических и социальных инвестиций, способствующих развитию прилегающих территорий и региона, достижению к 2030 году Целей устойчивого развития.</w:t>
      </w:r>
    </w:p>
    <w:p>
      <w:pPr>
        <w:spacing w:after="60"/>
        <w:ind w:firstLine="567"/>
        <w:jc w:val="both"/>
      </w:pPr>
      <w:r>
        <w:rPr>
          <w:rFonts w:ascii="Arial" w:cs="Arial" w:eastAsia="Arial" w:hAnsi="Arial"/>
          <w:sz w:val="24"/>
          <w:szCs w:val="24"/>
        </w:rPr>
        <w:t xml:space="preserve">Программой предусматривается внесение вклада в достижение Целей устойчивого развития, предусматривающих доступ к базовым услугам, соответствующим новым технологиям и финансовым услугам, обеспечение справедливого качественного образования, содействие устойчивому экономическому росту и создание стойкой инфраструктуры, содействие устойчивой индустриализации и инновациям, обеспечение открытости, безопасности, жизнестойкости и экологической устойчивости городов и населенных пунктов.</w:t>
      </w:r>
    </w:p>
    <w:p>
      <w:pPr>
        <w:spacing w:after="200" w:before="200"/>
        <w:jc w:val="center"/>
      </w:pPr>
      <w:r>
        <w:rPr>
          <w:rFonts w:ascii="Arial" w:cs="Arial" w:eastAsia="Arial" w:hAnsi="Arial"/>
          <w:b/>
          <w:bCs/>
          <w:sz w:val="24"/>
          <w:szCs w:val="24"/>
        </w:rPr>
        <w:t xml:space="preserve">Глава 3. Приоритетные направления развития</w:t>
      </w:r>
    </w:p>
    <w:p>
      <w:pPr>
        <w:spacing w:after="60"/>
        <w:ind w:firstLine="567"/>
        <w:jc w:val="both"/>
      </w:pPr>
      <w:r>
        <w:rPr>
          <w:rFonts w:ascii="Arial" w:cs="Arial" w:eastAsia="Arial" w:hAnsi="Arial"/>
          <w:sz w:val="24"/>
          <w:szCs w:val="24"/>
        </w:rPr>
        <w:t xml:space="preserve">Для достижения поставленной цели определены следующие приоритетные направления развития:</w:t>
      </w:r>
    </w:p>
    <w:p>
      <w:pPr>
        <w:spacing w:after="60"/>
        <w:ind w:firstLine="567"/>
        <w:jc w:val="both"/>
      </w:pPr>
      <w:r>
        <w:rPr>
          <w:rFonts w:ascii="Arial" w:cs="Arial" w:eastAsia="Arial" w:hAnsi="Arial"/>
          <w:sz w:val="24"/>
          <w:szCs w:val="24"/>
        </w:rPr>
        <w:t xml:space="preserve">1) разработка мастер-планов опорных точек роста и достижение стандартов регионального развития;</w:t>
      </w:r>
    </w:p>
    <w:p>
      <w:pPr>
        <w:spacing w:after="60"/>
        <w:ind w:firstLine="567"/>
        <w:jc w:val="both"/>
      </w:pPr>
      <w:r>
        <w:rPr>
          <w:rFonts w:ascii="Arial" w:cs="Arial" w:eastAsia="Arial" w:hAnsi="Arial"/>
          <w:sz w:val="24"/>
          <w:szCs w:val="24"/>
        </w:rPr>
        <w:t xml:space="preserve">2) привлечение инвесторов и развитие перерабатывающей промышленности;</w:t>
      </w:r>
    </w:p>
    <w:p>
      <w:pPr>
        <w:spacing w:after="60"/>
        <w:ind w:firstLine="567"/>
        <w:jc w:val="both"/>
      </w:pPr>
      <w:r>
        <w:rPr>
          <w:rFonts w:ascii="Arial" w:cs="Arial" w:eastAsia="Arial" w:hAnsi="Arial"/>
          <w:sz w:val="24"/>
          <w:szCs w:val="24"/>
        </w:rPr>
        <w:t xml:space="preserve">3) улучшение инфраструктуры опорной точки развития;</w:t>
      </w:r>
    </w:p>
    <w:p>
      <w:pPr>
        <w:spacing w:after="60"/>
        <w:ind w:firstLine="567"/>
        <w:jc w:val="both"/>
      </w:pPr>
      <w:r>
        <w:rPr>
          <w:rFonts w:ascii="Arial" w:cs="Arial" w:eastAsia="Arial" w:hAnsi="Arial"/>
          <w:sz w:val="24"/>
          <w:szCs w:val="24"/>
        </w:rPr>
        <w:t xml:space="preserve">4) создание экономически устойчивой системы предоставления базовых услуг населению;</w:t>
      </w:r>
    </w:p>
    <w:p>
      <w:pPr>
        <w:spacing w:after="60"/>
        <w:ind w:firstLine="567"/>
        <w:jc w:val="both"/>
      </w:pPr>
      <w:r>
        <w:rPr>
          <w:rFonts w:ascii="Arial" w:cs="Arial" w:eastAsia="Arial" w:hAnsi="Arial"/>
          <w:sz w:val="24"/>
          <w:szCs w:val="24"/>
        </w:rPr>
        <w:t xml:space="preserve">5) привлечение в опорные точки развития передовых учебных заведений;</w:t>
      </w:r>
    </w:p>
    <w:p>
      <w:pPr>
        <w:spacing w:after="60"/>
        <w:ind w:firstLine="567"/>
        <w:jc w:val="both"/>
      </w:pPr>
      <w:r>
        <w:rPr>
          <w:rFonts w:ascii="Arial" w:cs="Arial" w:eastAsia="Arial" w:hAnsi="Arial"/>
          <w:sz w:val="24"/>
          <w:szCs w:val="24"/>
        </w:rPr>
        <w:t xml:space="preserve">6) создание условий для вовлечения граждан в сферу культуры.</w:t>
      </w:r>
    </w:p>
    <w:p>
      <w:pPr>
        <w:spacing w:after="200" w:before="200"/>
        <w:jc w:val="center"/>
      </w:pPr>
      <w:r>
        <w:rPr>
          <w:rFonts w:ascii="Arial" w:cs="Arial" w:eastAsia="Arial" w:hAnsi="Arial"/>
          <w:b/>
          <w:bCs/>
          <w:sz w:val="24"/>
          <w:szCs w:val="24"/>
        </w:rPr>
        <w:t xml:space="preserve">Раздел 1. Разработка мастер планов опорных точек роста и достижение стандартов регионального развития</w:t>
      </w:r>
    </w:p>
    <w:p>
      <w:pPr>
        <w:spacing w:after="200" w:before="200"/>
        <w:jc w:val="center"/>
      </w:pPr>
      <w:r>
        <w:rPr>
          <w:rFonts w:ascii="Arial" w:cs="Arial" w:eastAsia="Arial" w:hAnsi="Arial"/>
          <w:b/>
          <w:bCs/>
          <w:sz w:val="24"/>
          <w:szCs w:val="24"/>
        </w:rPr>
        <w:t xml:space="preserve">§ 1.1. Анализ текущей ситуации в сфере планирования</w:t>
      </w:r>
    </w:p>
    <w:p>
      <w:pPr>
        <w:spacing w:after="60"/>
        <w:ind w:firstLine="567"/>
        <w:jc w:val="both"/>
      </w:pPr>
      <w:r>
        <w:rPr>
          <w:rFonts w:ascii="Arial" w:cs="Arial" w:eastAsia="Arial" w:hAnsi="Arial"/>
          <w:sz w:val="24"/>
          <w:szCs w:val="24"/>
        </w:rPr>
        <w:t xml:space="preserve">Обеспечение социально-экономического развития соответствующей территории является одним из вопросов местного значения органов местного самоуправления. В настоящее время планирование развития населенных пунктов осуществляется на основе программ социально-экономического развития территорий. Настоящая Программа устанавливает перспективные направления развития, представляет предлагаемые решения, указывает на имеющиеся ресурсы.</w:t>
      </w:r>
    </w:p>
    <w:p>
      <w:pPr>
        <w:spacing w:after="60"/>
        <w:ind w:firstLine="567"/>
        <w:jc w:val="both"/>
      </w:pPr>
      <w:r>
        <w:rPr>
          <w:rFonts w:ascii="Arial" w:cs="Arial" w:eastAsia="Arial" w:hAnsi="Arial"/>
          <w:sz w:val="24"/>
          <w:szCs w:val="24"/>
        </w:rPr>
        <w:t xml:space="preserve">В целях обеспечения единого подхода в планировании развития населенных пунктов в 2024 году приказом Министерства экономики и коммерции Кыргызской Республики утверждена методология разработки программ социально-экономического развития городов и айыльных аймаков. В соответствии с методологией исполнительными органами местного самоуправления разрабатываются программы социально-экономического развития, которые утверждаются местными кенешами согласно Бюджетному кодексу Кыргызской Республики не позднее 1 июня.</w:t>
      </w:r>
    </w:p>
    <w:p>
      <w:pPr>
        <w:spacing w:after="60"/>
        <w:ind w:firstLine="567"/>
        <w:jc w:val="both"/>
      </w:pPr>
      <w:r>
        <w:rPr>
          <w:rFonts w:ascii="Arial" w:cs="Arial" w:eastAsia="Arial" w:hAnsi="Arial"/>
          <w:sz w:val="24"/>
          <w:szCs w:val="24"/>
        </w:rPr>
        <w:t xml:space="preserve">Опыт развитых стран показывает, что успехов в планировании опорных точек роста можно достичь, применяя методику разработки мастер-планов по конкретным направлениям. Разработка мастер-планов осуществляется в партнерстве местных органов власти с населением, бизнесом, гражданским обществом. Мастер-планы станут составной частью программ социально-экономического развития местного сообщества и продемонстрируют пути решения задач, указанных в Программе. Мастер-план может иметь отношение к развитию всего приоритета, указанного в Программе, группе задач, конкретной задаче или крупной мере. Мастер-план должен включать технологические, управленческие решения, в том числе указания по наращиванию ресурсов для реализации мастер-плана, и стать стратегией комплексного пространственного и социально-экономического развития территории, направленной на создание комфортных пространств и условий для жизнедеятельности местного сообщества.</w:t>
      </w:r>
    </w:p>
    <w:p>
      <w:pPr>
        <w:spacing w:after="60"/>
        <w:ind w:firstLine="567"/>
        <w:jc w:val="both"/>
      </w:pPr>
      <w:r>
        <w:rPr>
          <w:rFonts w:ascii="Arial" w:cs="Arial" w:eastAsia="Arial" w:hAnsi="Arial"/>
          <w:sz w:val="24"/>
          <w:szCs w:val="24"/>
        </w:rPr>
        <w:t xml:space="preserve">Настоящей Программой предусмотрена задача по разработке для опорных точек роста мастер-планов развития и стандартов комплексного развития территорий, реализация которой позволит эффективно использовать территорию опорной точки роста, создавать комфортную среду для проживания и дальнейшего социально-экономического развития.</w:t>
      </w:r>
    </w:p>
    <w:p>
      <w:pPr>
        <w:spacing w:after="200" w:before="200"/>
        <w:jc w:val="center"/>
      </w:pPr>
      <w:r>
        <w:rPr>
          <w:rFonts w:ascii="Arial" w:cs="Arial" w:eastAsia="Arial" w:hAnsi="Arial"/>
          <w:b/>
          <w:bCs/>
          <w:sz w:val="24"/>
          <w:szCs w:val="24"/>
        </w:rPr>
        <w:t xml:space="preserve">§ 1.2. Задачи по разработке мастер-планов опорных точек роста и реализация стандартов регионального развития</w:t>
      </w:r>
    </w:p>
    <w:p>
      <w:pPr>
        <w:spacing w:after="60" w:before="200"/>
        <w:ind w:firstLine="567"/>
        <w:jc w:val="left"/>
      </w:pPr>
      <w:r>
        <w:rPr>
          <w:rFonts w:ascii="Arial" w:cs="Arial" w:eastAsia="Arial" w:hAnsi="Arial"/>
          <w:b/>
          <w:bCs/>
          <w:sz w:val="24"/>
          <w:szCs w:val="24"/>
        </w:rPr>
        <w:t xml:space="preserve">Задача 1. Разработка и утверждение мастер-планов развития опорных точек роста</w:t>
      </w:r>
    </w:p>
    <w:p>
      <w:pPr>
        <w:spacing w:after="60"/>
        <w:ind w:firstLine="567"/>
        <w:jc w:val="both"/>
      </w:pPr>
      <w:r>
        <w:rPr>
          <w:rFonts w:ascii="Arial" w:cs="Arial" w:eastAsia="Arial" w:hAnsi="Arial"/>
          <w:sz w:val="24"/>
          <w:szCs w:val="24"/>
        </w:rPr>
        <w:t xml:space="preserve">Настоящей Программой предусматривается в рамках реализации программ социально-экономического развития городов разработка мастер-планов городов областного значения и других населенных пунктов, претендующих на статус опорной точки роста, при методологической поддержке государственных органов.</w:t>
      </w:r>
    </w:p>
    <w:p>
      <w:pPr>
        <w:spacing w:after="60"/>
        <w:ind w:firstLine="567"/>
        <w:jc w:val="both"/>
      </w:pPr>
      <w:r>
        <w:rPr>
          <w:rFonts w:ascii="Arial" w:cs="Arial" w:eastAsia="Arial" w:hAnsi="Arial"/>
          <w:sz w:val="24"/>
          <w:szCs w:val="24"/>
        </w:rPr>
        <w:t xml:space="preserve">В рамках методологической поддержки необходимо подготовить методику разработки мастер-плана, на основе которой все города Кыргызской Республики разработают и утвердят мастер-планы по приоритетным направлениям и задачам развития опорной точки роста. Разработанные мастер-планы будут согласовываться с Министерством экономики и коммерции Кыргызской Республики и утверждаться решением главы исполнительного органа местного самоуправления. Мониторинг реализации мастер-планов осуществляется на ежегодной основе Министерством экономики и коммерции Кыргызской Республики.</w:t>
      </w:r>
    </w:p>
    <w:p>
      <w:pPr>
        <w:spacing w:after="60"/>
        <w:ind w:firstLine="567"/>
        <w:jc w:val="both"/>
      </w:pPr>
      <w:r>
        <w:rPr>
          <w:rFonts w:ascii="Arial" w:cs="Arial" w:eastAsia="Arial" w:hAnsi="Arial"/>
          <w:sz w:val="24"/>
          <w:szCs w:val="24"/>
        </w:rPr>
        <w:t xml:space="preserve">Мастер-план должен включать пошаговые действия государственных органов, органов местного самоуправления, партнеров по развитию для решения конкретной задачи. Мастер-план в обязательном порядке должен предусматривать меры по наращиванию ресурсов для выполнения поставленной задачи.</w:t>
      </w:r>
    </w:p>
    <w:p>
      <w:pPr>
        <w:spacing w:after="60" w:before="200"/>
        <w:ind w:firstLine="567"/>
        <w:jc w:val="left"/>
      </w:pPr>
      <w:r>
        <w:rPr>
          <w:rFonts w:ascii="Arial" w:cs="Arial" w:eastAsia="Arial" w:hAnsi="Arial"/>
          <w:b/>
          <w:bCs/>
          <w:sz w:val="24"/>
          <w:szCs w:val="24"/>
        </w:rPr>
        <w:t xml:space="preserve">Задача 2. Внедрение и достижение стандартов развития для опорных точек роста</w:t>
      </w:r>
    </w:p>
    <w:p>
      <w:pPr>
        <w:spacing w:after="60"/>
        <w:ind w:firstLine="567"/>
        <w:jc w:val="both"/>
      </w:pPr>
      <w:r>
        <w:rPr>
          <w:rFonts w:ascii="Arial" w:cs="Arial" w:eastAsia="Arial" w:hAnsi="Arial"/>
          <w:sz w:val="24"/>
          <w:szCs w:val="24"/>
        </w:rPr>
        <w:t xml:space="preserve">Стандарты развития для опорной точки роста - это совокупность требований и критериев развития общественного пространства городов, формирования облика городов, создания условий для привлечения инвесторов, а также обеспечения граждан высоким качеством жизни на территории опорной точки роста, с последующим распространением этих стандартов на другие населенные пункты. Стандарты будут разработаны с привлечением экспертов, общественности, международных организаций, утверждены соответствующим государственным органом и рекомендованы для выполнения потенциальным опорным точкам роста. Применение стандартов развития позволит создавать комфортные условия для жизни, привлекательную среду для инвесторов и осуществления капиталовложений.</w:t>
      </w:r>
    </w:p>
    <w:p>
      <w:pPr>
        <w:spacing w:after="60"/>
        <w:ind w:firstLine="567"/>
        <w:jc w:val="both"/>
      </w:pPr>
      <w:r>
        <w:rPr>
          <w:rFonts w:ascii="Arial" w:cs="Arial" w:eastAsia="Arial" w:hAnsi="Arial"/>
          <w:sz w:val="24"/>
          <w:szCs w:val="24"/>
        </w:rPr>
        <w:t xml:space="preserve">При разработке стандартов будут учитываться базовые стандарты, представленные в таблице 1.</w:t>
      </w:r>
    </w:p>
    <w:p>
      <w:pPr>
        <w:spacing w:after="120" w:before="200"/>
        <w:ind w:firstLine="567"/>
        <w:jc w:val="left"/>
      </w:pPr>
      <w:r>
        <w:rPr>
          <w:rFonts w:ascii="Arial" w:cs="Arial" w:eastAsia="Arial" w:hAnsi="Arial"/>
          <w:b/>
          <w:bCs/>
          <w:sz w:val="24"/>
          <w:szCs w:val="24"/>
        </w:rPr>
        <w:t xml:space="preserve">Таблица 1. Критерии и базовые стандарты развития для опорной точки роста</w:t>
      </w:r>
    </w:p>
    <w:p>
      <w:pPr>
        <w:spacing w:after="120" w:before="120"/>
        <w:jc w:val="left"/>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153"/>
        <w:gridCol w:w="6025"/>
      </w:tblGrid>
      <w:tr>
        <w:tc>
          <w:tcPr>
            <w:tcW w:type="dxa" w:w="415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Критерии</w:t>
            </w:r>
          </w:p>
        </w:tc>
        <w:tc>
          <w:tcPr>
            <w:tcW w:type="dxa" w:w="602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Стандарты развития</w:t>
            </w:r>
          </w:p>
        </w:tc>
      </w:tr>
      <w:tr>
        <w:tc>
          <w:tcPr>
            <w:tcW w:type="dxa" w:w="41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Доступ предпринимателей к государственным ресурсам</w:t>
            </w:r>
          </w:p>
        </w:tc>
        <w:tc>
          <w:tcPr>
            <w:tcW w:type="dxa" w:w="60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правил доступа предпринимателей к электроэнергии, теплоэнергии, системам питьевого водоснабжения и водоотведения, государственным и муниципальным земельным ресурсам, имуществу.</w:t>
            </w:r>
          </w:p>
          <w:p>
            <w:pPr>
              <w:jc w:val="left"/>
            </w:pPr>
            <w:r>
              <w:rPr>
                <w:rFonts w:ascii="Arial" w:cs="Arial" w:eastAsia="Arial" w:hAnsi="Arial"/>
                <w:sz w:val="24"/>
                <w:szCs w:val="24"/>
              </w:rPr>
              <w:t xml:space="preserve">Наличие инвестиционной карты, которая содержит информацию о территориальном планировании региона, ресурсной базе, инфраструктуре, мерах поддержки и тарифах</w:t>
            </w:r>
          </w:p>
        </w:tc>
      </w:tr>
      <w:tr>
        <w:tc>
          <w:tcPr>
            <w:tcW w:type="dxa" w:w="41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Развитие промышленной инфраструктуры для удовлетворения потребностей предпринимателей</w:t>
            </w:r>
          </w:p>
        </w:tc>
        <w:tc>
          <w:tcPr>
            <w:tcW w:type="dxa" w:w="60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ежегодной основе утверждение Плана развития промышленной инфраструктуры в целях поддержки бизнеса.</w:t>
            </w:r>
          </w:p>
          <w:p>
            <w:pPr>
              <w:jc w:val="left"/>
            </w:pPr>
            <w:r>
              <w:rPr>
                <w:rFonts w:ascii="Arial" w:cs="Arial" w:eastAsia="Arial" w:hAnsi="Arial"/>
                <w:sz w:val="24"/>
                <w:szCs w:val="24"/>
              </w:rPr>
              <w:t xml:space="preserve">На ежегодной основе выделение финансовых средств из республиканского бюджета, местного бюджета и других источников на финансирование развития промышленной инфраструктуры</w:t>
            </w:r>
          </w:p>
        </w:tc>
      </w:tr>
      <w:tr>
        <w:tc>
          <w:tcPr>
            <w:tcW w:type="dxa" w:w="41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Снятие бюрократических барьеров для ведения бизнеса, поддержка инициатив предпринимателей</w:t>
            </w:r>
          </w:p>
        </w:tc>
        <w:tc>
          <w:tcPr>
            <w:tcW w:type="dxa" w:w="60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учреждения, сектора в исполнительном органе власти, обеспечивающего разрешение спорных ситуаций, продвижение инвестиционных проектов, контроль за соблюдением стандартов регионального развития</w:t>
            </w:r>
          </w:p>
        </w:tc>
      </w:tr>
      <w:tr>
        <w:tc>
          <w:tcPr>
            <w:tcW w:type="dxa" w:w="41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Развитие диалога местных органов власти и представителей бизнес-сообщества</w:t>
            </w:r>
          </w:p>
        </w:tc>
        <w:tc>
          <w:tcPr>
            <w:tcW w:type="dxa" w:w="60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устойчиво работающего Совета по развитию предпринимательства с обязательным правом рассмотрения решений Совета государственными органами и органами местного самоуправления.</w:t>
            </w:r>
          </w:p>
          <w:p>
            <w:pPr>
              <w:jc w:val="left"/>
            </w:pPr>
            <w:r>
              <w:rPr>
                <w:rFonts w:ascii="Arial" w:cs="Arial" w:eastAsia="Arial" w:hAnsi="Arial"/>
                <w:sz w:val="24"/>
                <w:szCs w:val="24"/>
              </w:rPr>
              <w:t xml:space="preserve">Создание местными органами власти условий по формированию и развитию ассоциативных организаций предпринимателей</w:t>
            </w:r>
          </w:p>
        </w:tc>
      </w:tr>
      <w:tr>
        <w:tc>
          <w:tcPr>
            <w:tcW w:type="dxa" w:w="41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Обратная связь предпринимателей в отношении действий органов власти по созданию благоприятного климата для ведения бизнеса</w:t>
            </w:r>
          </w:p>
        </w:tc>
        <w:tc>
          <w:tcPr>
            <w:tcW w:type="dxa" w:w="60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постоянно действующей оценки деятельности государственных органов и органов местного самоуправления по созданию благоприятных условий для инвесторов и предпринимателей</w:t>
            </w:r>
          </w:p>
        </w:tc>
      </w:tr>
    </w:tbl>
    <w:p>
      <w:pPr>
        <w:spacing w:after="200" w:before="200"/>
        <w:jc w:val="center"/>
      </w:pPr>
      <w:r>
        <w:rPr>
          <w:rFonts w:ascii="Arial" w:cs="Arial" w:eastAsia="Arial" w:hAnsi="Arial"/>
          <w:b/>
          <w:bCs/>
          <w:sz w:val="24"/>
          <w:szCs w:val="24"/>
        </w:rPr>
        <w:t xml:space="preserve">§ 1.3. Ожидаемые результаты</w:t>
      </w:r>
    </w:p>
    <w:p>
      <w:pPr>
        <w:spacing w:after="60"/>
        <w:ind w:firstLine="567"/>
        <w:jc w:val="both"/>
      </w:pPr>
      <w:r>
        <w:rPr>
          <w:rFonts w:ascii="Arial" w:cs="Arial" w:eastAsia="Arial" w:hAnsi="Arial"/>
          <w:sz w:val="24"/>
          <w:szCs w:val="24"/>
        </w:rPr>
        <w:t xml:space="preserve">По итогам реализации поставленных задач ожидается достижение следующих результатов:</w:t>
      </w:r>
    </w:p>
    <w:p>
      <w:pPr>
        <w:spacing w:after="60"/>
        <w:ind w:firstLine="567"/>
        <w:jc w:val="both"/>
      </w:pPr>
      <w:r>
        <w:rPr>
          <w:rFonts w:ascii="Arial" w:cs="Arial" w:eastAsia="Arial" w:hAnsi="Arial"/>
          <w:sz w:val="24"/>
          <w:szCs w:val="24"/>
        </w:rPr>
        <w:t xml:space="preserve">1) разработана методика разработки мастер-плана развития опорной точки роста;</w:t>
      </w:r>
    </w:p>
    <w:p>
      <w:pPr>
        <w:spacing w:after="60"/>
        <w:ind w:firstLine="567"/>
        <w:jc w:val="both"/>
      </w:pPr>
      <w:r>
        <w:rPr>
          <w:rFonts w:ascii="Arial" w:cs="Arial" w:eastAsia="Arial" w:hAnsi="Arial"/>
          <w:sz w:val="24"/>
          <w:szCs w:val="24"/>
        </w:rPr>
        <w:t xml:space="preserve">2) в каждой опорной точке роста будут разработаны и утверждены мастер-планы по развитию приоритетных направлений Программы социально-экономического развития территорий;</w:t>
      </w:r>
    </w:p>
    <w:p>
      <w:pPr>
        <w:spacing w:after="60"/>
        <w:ind w:firstLine="567"/>
        <w:jc w:val="both"/>
      </w:pPr>
      <w:r>
        <w:rPr>
          <w:rFonts w:ascii="Arial" w:cs="Arial" w:eastAsia="Arial" w:hAnsi="Arial"/>
          <w:sz w:val="24"/>
          <w:szCs w:val="24"/>
        </w:rPr>
        <w:t xml:space="preserve">3) опорные точки роста будут соответствовать критериям и региональным стандартам развития.</w:t>
      </w:r>
    </w:p>
    <w:p>
      <w:pPr>
        <w:spacing w:after="200" w:before="200"/>
        <w:jc w:val="center"/>
      </w:pPr>
      <w:r>
        <w:rPr>
          <w:rFonts w:ascii="Arial" w:cs="Arial" w:eastAsia="Arial" w:hAnsi="Arial"/>
          <w:b/>
          <w:bCs/>
          <w:sz w:val="24"/>
          <w:szCs w:val="24"/>
        </w:rPr>
        <w:t xml:space="preserve">Раздел 2. Привлечение инвесторов и развитие перерабатывающей промышленности</w:t>
      </w:r>
    </w:p>
    <w:p>
      <w:pPr>
        <w:spacing w:after="200" w:before="200"/>
        <w:jc w:val="center"/>
      </w:pPr>
      <w:r>
        <w:rPr>
          <w:rFonts w:ascii="Arial" w:cs="Arial" w:eastAsia="Arial" w:hAnsi="Arial"/>
          <w:b/>
          <w:bCs/>
          <w:sz w:val="24"/>
          <w:szCs w:val="24"/>
        </w:rPr>
        <w:t xml:space="preserve">§ 2.1. Анализ конкурентоспособности регионов и текущего состояния перерабатывающей промышленности</w:t>
      </w:r>
    </w:p>
    <w:p>
      <w:pPr>
        <w:spacing w:after="60"/>
        <w:ind w:firstLine="567"/>
        <w:jc w:val="both"/>
      </w:pPr>
      <w:r>
        <w:rPr>
          <w:rFonts w:ascii="Arial" w:cs="Arial" w:eastAsia="Arial" w:hAnsi="Arial"/>
          <w:sz w:val="24"/>
          <w:szCs w:val="24"/>
        </w:rPr>
        <w:t xml:space="preserve">Продукция предприятий, применяющих инновационные технологии производства, имеет конкурентное преимущество на соответствующем рынке. Такие предприятия формируют новую культуру производства, создают условия для привлечения новых инвестиций, для увеличения объемов продаж.</w:t>
      </w:r>
    </w:p>
    <w:p>
      <w:pPr>
        <w:spacing w:after="60"/>
        <w:ind w:firstLine="567"/>
        <w:jc w:val="both"/>
      </w:pPr>
      <w:r>
        <w:rPr>
          <w:rFonts w:ascii="Arial" w:cs="Arial" w:eastAsia="Arial" w:hAnsi="Arial"/>
          <w:sz w:val="24"/>
          <w:szCs w:val="24"/>
        </w:rPr>
        <w:t xml:space="preserve">Показателем, характеризующим конкурентоспособность предприятий региона, является их экспортоориентированность. До настоящего времени сохраняется тенденция, когда наибольшее количество экспортоориентированных предприятий сосредоточено в городе Бишкек. Более объективно можно рассматривать экспортный потенциал областных центров через показатель объема экспорта, привязанного к численности населения.</w:t>
      </w:r>
    </w:p>
    <w:p>
      <w:pPr>
        <w:spacing w:after="120" w:before="200"/>
        <w:ind w:firstLine="567"/>
        <w:jc w:val="left"/>
      </w:pPr>
      <w:r>
        <w:rPr>
          <w:rFonts w:ascii="Arial" w:cs="Arial" w:eastAsia="Arial" w:hAnsi="Arial"/>
          <w:b/>
          <w:bCs/>
          <w:sz w:val="24"/>
          <w:szCs w:val="24"/>
        </w:rPr>
        <w:t xml:space="preserve">Таблица 1. Объем экспортной продукции на 1 жителя города</w:t>
      </w:r>
    </w:p>
    <w:p>
      <w:pPr>
        <w:spacing w:after="120" w:before="120"/>
        <w:jc w:val="left"/>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489"/>
        <w:gridCol w:w="6689"/>
      </w:tblGrid>
      <w:tr>
        <w:tc>
          <w:tcPr>
            <w:tcW w:type="dxa" w:w="348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территории</w:t>
            </w:r>
          </w:p>
        </w:tc>
        <w:tc>
          <w:tcPr>
            <w:tcW w:type="dxa" w:w="668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Объем экспорта на душу населения (долл. США/чел.)</w:t>
            </w:r>
          </w:p>
        </w:tc>
      </w:tr>
      <w:tr>
        <w:tc>
          <w:tcPr>
            <w:tcW w:type="dxa" w:w="34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Кыргызская Республика</w:t>
            </w:r>
          </w:p>
        </w:tc>
        <w:tc>
          <w:tcPr>
            <w:tcW w:type="dxa" w:w="66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179,55</w:t>
            </w:r>
          </w:p>
        </w:tc>
      </w:tr>
      <w:tr>
        <w:tc>
          <w:tcPr>
            <w:tcW w:type="dxa" w:w="34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г.Бишкек</w:t>
            </w:r>
          </w:p>
        </w:tc>
        <w:tc>
          <w:tcPr>
            <w:tcW w:type="dxa" w:w="66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535,46</w:t>
            </w:r>
          </w:p>
        </w:tc>
      </w:tr>
      <w:tr>
        <w:tc>
          <w:tcPr>
            <w:tcW w:type="dxa" w:w="34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г.Талас</w:t>
            </w:r>
          </w:p>
        </w:tc>
        <w:tc>
          <w:tcPr>
            <w:tcW w:type="dxa" w:w="66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126,10</w:t>
            </w:r>
          </w:p>
        </w:tc>
      </w:tr>
      <w:tr>
        <w:tc>
          <w:tcPr>
            <w:tcW w:type="dxa" w:w="34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г.Джалал-Абад</w:t>
            </w:r>
          </w:p>
        </w:tc>
        <w:tc>
          <w:tcPr>
            <w:tcW w:type="dxa" w:w="66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104,73</w:t>
            </w:r>
          </w:p>
        </w:tc>
      </w:tr>
      <w:tr>
        <w:tc>
          <w:tcPr>
            <w:tcW w:type="dxa" w:w="34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г.Ош</w:t>
            </w:r>
          </w:p>
        </w:tc>
        <w:tc>
          <w:tcPr>
            <w:tcW w:type="dxa" w:w="66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79,31</w:t>
            </w:r>
          </w:p>
        </w:tc>
      </w:tr>
      <w:tr>
        <w:tc>
          <w:tcPr>
            <w:tcW w:type="dxa" w:w="34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г.Баткен</w:t>
            </w:r>
          </w:p>
        </w:tc>
        <w:tc>
          <w:tcPr>
            <w:tcW w:type="dxa" w:w="66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49,52</w:t>
            </w:r>
          </w:p>
        </w:tc>
      </w:tr>
      <w:tr>
        <w:tc>
          <w:tcPr>
            <w:tcW w:type="dxa" w:w="34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г.Каракол</w:t>
            </w:r>
          </w:p>
        </w:tc>
        <w:tc>
          <w:tcPr>
            <w:tcW w:type="dxa" w:w="66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3,53</w:t>
            </w:r>
          </w:p>
        </w:tc>
      </w:tr>
      <w:tr>
        <w:tc>
          <w:tcPr>
            <w:tcW w:type="dxa" w:w="34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г.Нарын</w:t>
            </w:r>
          </w:p>
        </w:tc>
        <w:tc>
          <w:tcPr>
            <w:tcW w:type="dxa" w:w="66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0,62</w:t>
            </w:r>
          </w:p>
        </w:tc>
      </w:tr>
    </w:tbl>
    <w:p>
      <w:pPr>
        <w:spacing w:after="120" w:before="120"/>
        <w:jc w:val="left"/>
      </w:pPr>
      <w:r>
        <w:rPr>
          <w:rFonts w:ascii="Arial" w:cs="Arial" w:eastAsia="Arial" w:hAnsi="Arial"/>
          <w:sz w:val="24"/>
          <w:szCs w:val="24"/>
        </w:rPr>
        <w:t xml:space="preserve"/>
      </w:r>
    </w:p>
    <w:p>
      <w:pPr>
        <w:spacing w:after="60" w:before="120"/>
        <w:ind w:firstLine="567"/>
        <w:jc w:val="both"/>
      </w:pPr>
      <w:r>
        <w:rPr>
          <w:rFonts w:ascii="Arial" w:cs="Arial" w:eastAsia="Arial" w:hAnsi="Arial"/>
          <w:sz w:val="24"/>
          <w:szCs w:val="24"/>
        </w:rPr>
        <w:t xml:space="preserve">В целом показатель объема экспорта на душу населения в Кыргызской Республике (179,55 долл. США/на душу населения) один из самых низких по сравнению с соседними странами. Так, например, в Республике Казахстан данный показатель составляет 4832,4 долл. США/на душу населения, в Республике Узбекистан - 633,2 долл. США/на душу населения, в Республике Таджикистан - 204 долл. США/на душу населения.</w:t>
      </w:r>
    </w:p>
    <w:p>
      <w:pPr>
        <w:spacing w:after="60"/>
        <w:ind w:firstLine="567"/>
        <w:jc w:val="both"/>
      </w:pPr>
      <w:r>
        <w:rPr>
          <w:rFonts w:ascii="Arial" w:cs="Arial" w:eastAsia="Arial" w:hAnsi="Arial"/>
          <w:sz w:val="24"/>
          <w:szCs w:val="24"/>
        </w:rPr>
        <w:t xml:space="preserve">В то же время необходимо отметить деятельность по наращиванию экспортного потенциала в отдельных областных центрах. Так, активно начал работать Нарын СЭЗ, в которой в 2024 году подписано инвестиционных соглашений на сумму более 150 млн. долларов США. По итогам деятельности за январь-сентябрь 2024 года объем производства промышленной продукции в городе Нарын составил 1 млрд. 127 млн. сомов, что на 37,3% больше по сравнению с аналогичным периодом прошлого года. Есть перспективы в развитии СЭЗ "Лейлек" Баткенской области, СЭЗ "Каракол" Иссык-Кульской области.</w:t>
      </w:r>
    </w:p>
    <w:p>
      <w:pPr>
        <w:spacing w:after="60"/>
        <w:ind w:firstLine="567"/>
        <w:jc w:val="both"/>
      </w:pPr>
      <w:r>
        <w:rPr>
          <w:rFonts w:ascii="Arial" w:cs="Arial" w:eastAsia="Arial" w:hAnsi="Arial"/>
          <w:sz w:val="24"/>
          <w:szCs w:val="24"/>
        </w:rPr>
        <w:t xml:space="preserve">Дополнительным показателем, характеризующим эффективность и конкурентоспособность предприятий, является значение сальдированного финансового результата предприятий реального сектора (прибыль минус убыток). Данные по этому показателю в разрезе областных центров представлены в таблице 2.</w:t>
      </w:r>
    </w:p>
    <w:p>
      <w:pPr>
        <w:spacing w:after="120" w:before="200"/>
        <w:ind w:firstLine="567"/>
        <w:jc w:val="left"/>
      </w:pPr>
      <w:r>
        <w:rPr>
          <w:rFonts w:ascii="Arial" w:cs="Arial" w:eastAsia="Arial" w:hAnsi="Arial"/>
          <w:b/>
          <w:bCs/>
          <w:sz w:val="24"/>
          <w:szCs w:val="24"/>
        </w:rPr>
        <w:t xml:space="preserve">Таблица 2. Сальдированный финансовый результат предприятий реального сектора (прибыль минус убыток)</w:t>
      </w:r>
    </w:p>
    <w:p>
      <w:pPr>
        <w:spacing w:after="120" w:before="120"/>
        <w:jc w:val="left"/>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790"/>
        <w:gridCol w:w="2695"/>
        <w:gridCol w:w="2693"/>
      </w:tblGrid>
      <w:tr>
        <w:tc>
          <w:tcPr>
            <w:tcW w:type="dxa" w:w="479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областных центров</w:t>
            </w:r>
          </w:p>
        </w:tc>
        <w:tc>
          <w:tcPr>
            <w:tcW w:type="dxa" w:w="269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2022 год (тыс. сом)</w:t>
            </w:r>
          </w:p>
        </w:tc>
        <w:tc>
          <w:tcPr>
            <w:tcW w:type="dxa" w:w="269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2023 год (тыс. сом)</w:t>
            </w:r>
          </w:p>
        </w:tc>
      </w:tr>
      <w:tr>
        <w:tc>
          <w:tcPr>
            <w:tcW w:type="dxa" w:w="47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г.Баткен</w:t>
            </w:r>
          </w:p>
        </w:tc>
        <w:tc>
          <w:tcPr>
            <w:tcW w:type="dxa" w:w="26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13456</w:t>
            </w:r>
          </w:p>
        </w:tc>
        <w:tc>
          <w:tcPr>
            <w:tcW w:type="dxa" w:w="2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2672</w:t>
            </w:r>
          </w:p>
        </w:tc>
      </w:tr>
      <w:tr>
        <w:tc>
          <w:tcPr>
            <w:tcW w:type="dxa" w:w="47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г.Нарын</w:t>
            </w:r>
          </w:p>
        </w:tc>
        <w:tc>
          <w:tcPr>
            <w:tcW w:type="dxa" w:w="26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3107</w:t>
            </w:r>
          </w:p>
        </w:tc>
        <w:tc>
          <w:tcPr>
            <w:tcW w:type="dxa" w:w="2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37787</w:t>
            </w:r>
          </w:p>
        </w:tc>
      </w:tr>
      <w:tr>
        <w:tc>
          <w:tcPr>
            <w:tcW w:type="dxa" w:w="47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г.Талас</w:t>
            </w:r>
          </w:p>
        </w:tc>
        <w:tc>
          <w:tcPr>
            <w:tcW w:type="dxa" w:w="26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35249</w:t>
            </w:r>
          </w:p>
        </w:tc>
        <w:tc>
          <w:tcPr>
            <w:tcW w:type="dxa" w:w="2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77591</w:t>
            </w:r>
          </w:p>
        </w:tc>
      </w:tr>
      <w:tr>
        <w:tc>
          <w:tcPr>
            <w:tcW w:type="dxa" w:w="47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г.Каракол</w:t>
            </w:r>
          </w:p>
        </w:tc>
        <w:tc>
          <w:tcPr>
            <w:tcW w:type="dxa" w:w="26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795277</w:t>
            </w:r>
          </w:p>
        </w:tc>
        <w:tc>
          <w:tcPr>
            <w:tcW w:type="dxa" w:w="2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429604</w:t>
            </w:r>
          </w:p>
        </w:tc>
      </w:tr>
      <w:tr>
        <w:tc>
          <w:tcPr>
            <w:tcW w:type="dxa" w:w="47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г.Джалал-Абад</w:t>
            </w:r>
          </w:p>
        </w:tc>
        <w:tc>
          <w:tcPr>
            <w:tcW w:type="dxa" w:w="26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935660</w:t>
            </w:r>
          </w:p>
        </w:tc>
        <w:tc>
          <w:tcPr>
            <w:tcW w:type="dxa" w:w="2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1327547</w:t>
            </w:r>
          </w:p>
        </w:tc>
      </w:tr>
      <w:tr>
        <w:tc>
          <w:tcPr>
            <w:tcW w:type="dxa" w:w="47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г.Ош</w:t>
            </w:r>
          </w:p>
        </w:tc>
        <w:tc>
          <w:tcPr>
            <w:tcW w:type="dxa" w:w="26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3649613</w:t>
            </w:r>
          </w:p>
        </w:tc>
        <w:tc>
          <w:tcPr>
            <w:tcW w:type="dxa" w:w="2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3557613</w:t>
            </w:r>
          </w:p>
        </w:tc>
      </w:tr>
      <w:tr>
        <w:tc>
          <w:tcPr>
            <w:tcW w:type="dxa" w:w="47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г.Бишкек</w:t>
            </w:r>
          </w:p>
        </w:tc>
        <w:tc>
          <w:tcPr>
            <w:tcW w:type="dxa" w:w="26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56389150</w:t>
            </w:r>
          </w:p>
        </w:tc>
        <w:tc>
          <w:tcPr>
            <w:tcW w:type="dxa" w:w="2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94709908</w:t>
            </w:r>
          </w:p>
        </w:tc>
      </w:tr>
    </w:tbl>
    <w:p>
      <w:pPr>
        <w:spacing w:after="120" w:before="120"/>
        <w:jc w:val="left"/>
      </w:pPr>
      <w:r>
        <w:rPr>
          <w:rFonts w:ascii="Arial" w:cs="Arial" w:eastAsia="Arial" w:hAnsi="Arial"/>
          <w:sz w:val="24"/>
          <w:szCs w:val="24"/>
        </w:rPr>
        <w:t xml:space="preserve"/>
      </w:r>
    </w:p>
    <w:p>
      <w:pPr>
        <w:spacing w:after="60" w:before="120"/>
        <w:ind w:firstLine="567"/>
        <w:jc w:val="both"/>
      </w:pPr>
      <w:r>
        <w:rPr>
          <w:rFonts w:ascii="Arial" w:cs="Arial" w:eastAsia="Arial" w:hAnsi="Arial"/>
          <w:sz w:val="24"/>
          <w:szCs w:val="24"/>
        </w:rPr>
        <w:t xml:space="preserve">Разрыв потенциала промышленных предприятий в разрезе областных центров значителен. Даже если не брать в расчет города республиканского значения, то по показателю прибыльности предприятий разрыв между городами Джалал-Абад и Баткен составляет около 500%.</w:t>
      </w:r>
    </w:p>
    <w:p>
      <w:pPr>
        <w:spacing w:after="60"/>
        <w:ind w:firstLine="567"/>
        <w:jc w:val="both"/>
      </w:pPr>
      <w:r>
        <w:rPr>
          <w:rFonts w:ascii="Arial" w:cs="Arial" w:eastAsia="Arial" w:hAnsi="Arial"/>
          <w:sz w:val="24"/>
          <w:szCs w:val="24"/>
        </w:rPr>
        <w:t xml:space="preserve">В настоящее время не в полной мере используются возможности, которые предоставляются законодательством Кыргызской Республики по использованию муниципального имущества в интересах бизнеса. В большей степени преобладает метод передачи земельных участков и муниципального имущества посредством аукциона, что не формирует благоприятные условия для бизнеса.</w:t>
      </w:r>
    </w:p>
    <w:p>
      <w:pPr>
        <w:spacing w:after="60"/>
        <w:ind w:firstLine="567"/>
        <w:jc w:val="both"/>
      </w:pPr>
      <w:r>
        <w:rPr>
          <w:rFonts w:ascii="Arial" w:cs="Arial" w:eastAsia="Arial" w:hAnsi="Arial"/>
          <w:sz w:val="24"/>
          <w:szCs w:val="24"/>
        </w:rPr>
        <w:t xml:space="preserve">В последние годы органами местного самоуправления приобретаются экономические активы, которые интересны бизнесу: специальная техника, оборудование для ирригации, сооружения для бизнеса, энергосберегающее оборудование и т.д.</w:t>
      </w:r>
    </w:p>
    <w:p>
      <w:pPr>
        <w:spacing w:after="60"/>
        <w:ind w:firstLine="567"/>
        <w:jc w:val="both"/>
      </w:pPr>
      <w:r>
        <w:rPr>
          <w:rFonts w:ascii="Arial" w:cs="Arial" w:eastAsia="Arial" w:hAnsi="Arial"/>
          <w:sz w:val="24"/>
          <w:szCs w:val="24"/>
        </w:rPr>
        <w:t xml:space="preserve">На основе анализа конкурентоспособности областных центров, как потенциальных опорных точек роста, можно сделать следующие выводы:</w:t>
      </w:r>
    </w:p>
    <w:p>
      <w:pPr>
        <w:spacing w:after="60"/>
        <w:ind w:firstLine="567"/>
        <w:jc w:val="both"/>
      </w:pPr>
      <w:r>
        <w:rPr>
          <w:rFonts w:ascii="Arial" w:cs="Arial" w:eastAsia="Arial" w:hAnsi="Arial"/>
          <w:sz w:val="24"/>
          <w:szCs w:val="24"/>
        </w:rPr>
        <w:t xml:space="preserve">1) правовая база позволяет государственным органам и органам местного самоуправления формировать благоприятные условия для привлечения инвесторов, которые могут обеспечить высокий уровень конкурентоспособности организации;</w:t>
      </w:r>
    </w:p>
    <w:p>
      <w:pPr>
        <w:spacing w:after="60"/>
        <w:ind w:firstLine="567"/>
        <w:jc w:val="both"/>
      </w:pPr>
      <w:r>
        <w:rPr>
          <w:rFonts w:ascii="Arial" w:cs="Arial" w:eastAsia="Arial" w:hAnsi="Arial"/>
          <w:sz w:val="24"/>
          <w:szCs w:val="24"/>
        </w:rPr>
        <w:t xml:space="preserve">2) государственные органы и органы местного самоуправления недостаточно используют возможность привлечения инвесторов с передовыми технологиями, предоставленную в рамках законодательства Кыргызской Республики. В частности, практически не применяется норма Налогового </w:t>
      </w:r>
      <w:hyperlink w:history="1" r:id="rIdd_jsfne3y-vqzlhkpwl_3">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 льготном налогообложении экспортоориентированных предприятий, недостаточно применяется механизм государственно-частного партнерства, недостаточно практикуется подготовка инвестиционных площадок для привлечения инвесторов;</w:t>
      </w:r>
    </w:p>
    <w:p>
      <w:pPr>
        <w:spacing w:after="60"/>
        <w:ind w:firstLine="567"/>
        <w:jc w:val="both"/>
      </w:pPr>
      <w:r>
        <w:rPr>
          <w:rFonts w:ascii="Arial" w:cs="Arial" w:eastAsia="Arial" w:hAnsi="Arial"/>
          <w:sz w:val="24"/>
          <w:szCs w:val="24"/>
        </w:rPr>
        <w:t xml:space="preserve">3) выпуск конкурентной продукции, ориентированной на экспорт, в большей степени обеспечивают предприятия, расположенные в городе Бишкек. В остальных городах, областных центрах - потенциальных опорных точках роста не созданы достаточные условия для привлечения на свои территории инвесторов, обладающих конкурентными преимуществами.</w:t>
      </w:r>
    </w:p>
    <w:p>
      <w:pPr>
        <w:spacing w:after="60"/>
        <w:ind w:firstLine="567"/>
        <w:jc w:val="both"/>
      </w:pPr>
      <w:r>
        <w:rPr>
          <w:rFonts w:ascii="Arial" w:cs="Arial" w:eastAsia="Arial" w:hAnsi="Arial"/>
          <w:sz w:val="24"/>
          <w:szCs w:val="24"/>
        </w:rPr>
        <w:t xml:space="preserve">Переработка выращиваемой сельскохозяйственной продукции является одним из приоритетных направлений деятельности на уровне регионов. По итогам социально-экономического развития в 2023 году в республике занятость населения в сфере сельского хозяйства составила 17,1% от общей численности занятого населения по видам экономической деятельности. Доля сельского хозяйства в ВВП страны составила 9,7%, что ставит сельское хозяйство только на 7 место по объемам производства в структуре ВВП после сферы услуг и промышленности. В последние три года наблюдается значительный рост объемов экспорта сельскохозяйственной продукции. Так, если в 2021 году экспорт составил 169,9 млн. долл. США, то в 2022 и 2023 годах соответственно 294,1 млн. долл. США и 246,6 млн. долл. США. В среднем рост составил 159%.</w:t>
      </w:r>
    </w:p>
    <w:p>
      <w:pPr>
        <w:spacing w:after="60"/>
        <w:ind w:firstLine="567"/>
        <w:jc w:val="both"/>
      </w:pPr>
      <w:r>
        <w:rPr>
          <w:rFonts w:ascii="Arial" w:cs="Arial" w:eastAsia="Arial" w:hAnsi="Arial"/>
          <w:sz w:val="24"/>
          <w:szCs w:val="24"/>
        </w:rPr>
        <w:t xml:space="preserve">Наличие предприятий по переработке сельскохозяйственной продукции становится важным условием для формирования опорных точек роста. Потенциал развития сельскохозяйственных предприятий на уровне регионов можно оценить, с определенными допущениями, по объему производства пищевой промышленности. Доля пищевой промышленности в общем объеме промышленного производства по итогам 9 месяцев 2024 года составляет 15,6%. По данному показателю пищевая промышленность уступает только производству основных металлов, доля которого составляет за аналогичный период 40,8%. Значительна доля пищевой промышленности, которая в общем объеме перерабатывающей промышленности составляет 20,2%. За последние 3 года рост объемов реализованной продукции пищевой промышленности составил 154%.</w:t>
      </w:r>
    </w:p>
    <w:p>
      <w:pPr>
        <w:spacing w:after="60"/>
        <w:ind w:firstLine="567"/>
        <w:jc w:val="both"/>
      </w:pPr>
      <w:r>
        <w:rPr>
          <w:rFonts w:ascii="Arial" w:cs="Arial" w:eastAsia="Arial" w:hAnsi="Arial"/>
          <w:sz w:val="24"/>
          <w:szCs w:val="24"/>
        </w:rPr>
        <w:t xml:space="preserve">В целом, средний показатель объема реализованной продукции пищевой промышленности Кыргызской Республики составляет 6303,9 сом/чел. Наблюдается устойчивая динамика роста данного показателя с 5281,4 сом/чел. в 2019 году до 6303,9 сом/чел. в 2024 году. На данный показатель оказывают влияние данные по городу Бишкек и Чуйской области, в которых этот показатель многократно превышает данные по другим регионам Кыргызской Республики (см. диаграмму 1).</w:t>
      </w:r>
    </w:p>
    <w:p>
      <w:pPr>
        <w:spacing w:after="60" w:before="200"/>
        <w:ind w:firstLine="567"/>
        <w:jc w:val="left"/>
      </w:pPr>
      <w:r>
        <w:rPr>
          <w:rFonts w:ascii="Arial" w:cs="Arial" w:eastAsia="Arial" w:hAnsi="Arial"/>
          <w:b/>
          <w:bCs/>
          <w:sz w:val="24"/>
          <w:szCs w:val="24"/>
        </w:rPr>
        <w:t xml:space="preserve">Рисунок. Диаграмма 1. Объем реализованной продукции пищевой промышленности на душу населения в разрезе областей, городов Бишкек и Ош за 6 месяцев 2024 года (сом/чел.)</w:t>
      </w:r>
    </w:p>
    <w:p>
      <w:pPr>
        <w:spacing w:after="60"/>
        <w:ind w:firstLine="567"/>
        <w:jc w:val="both"/>
      </w:pPr>
      <w:r>
        <w:rPr>
          <w:rFonts w:ascii="Arial" w:cs="Arial" w:eastAsia="Arial" w:hAnsi="Arial"/>
          <w:sz w:val="24"/>
          <w:szCs w:val="24"/>
        </w:rPr>
        <w:t xml:space="preserve">Недостаточный потенциал пищевой перерабатывающей промышленности наблюдается в Ошской, Нарынской, Баткенской, Джалал-Абадской областях, где объем реализованной переработанной продукции не превышает 1000 сом/чел. за 6 месяцев 2024 года.</w:t>
      </w:r>
    </w:p>
    <w:p>
      <w:pPr>
        <w:spacing w:after="60"/>
        <w:ind w:firstLine="567"/>
        <w:jc w:val="both"/>
      </w:pPr>
      <w:r>
        <w:rPr>
          <w:rFonts w:ascii="Arial" w:cs="Arial" w:eastAsia="Arial" w:hAnsi="Arial"/>
          <w:sz w:val="24"/>
          <w:szCs w:val="24"/>
        </w:rPr>
        <w:t xml:space="preserve">Ожидается, что реализуемая в настоящее время Программа развития пищевой и перерабатывающей промышленности Кыргызской Республики на 2023-2027 годы с применением кластерного развития, даст толчок развитию сферы переработки сельскохозяйственной продукции.</w:t>
      </w:r>
    </w:p>
    <w:p>
      <w:pPr>
        <w:spacing w:after="60"/>
        <w:ind w:firstLine="567"/>
        <w:jc w:val="both"/>
      </w:pPr>
      <w:r>
        <w:rPr>
          <w:rFonts w:ascii="Arial" w:cs="Arial" w:eastAsia="Arial" w:hAnsi="Arial"/>
          <w:sz w:val="24"/>
          <w:szCs w:val="24"/>
        </w:rPr>
        <w:t xml:space="preserve">Для ускоренного развития сферы переработки сельскохозяйственной продукции необходимо создавать привлекательные условия для внутренних и внешних инвесторов, обладающих как минимум следующими характеристиками:</w:t>
      </w:r>
    </w:p>
    <w:p>
      <w:pPr>
        <w:spacing w:after="60"/>
        <w:ind w:firstLine="567"/>
        <w:jc w:val="both"/>
      </w:pPr>
      <w:r>
        <w:rPr>
          <w:rFonts w:ascii="Arial" w:cs="Arial" w:eastAsia="Arial" w:hAnsi="Arial"/>
          <w:sz w:val="24"/>
          <w:szCs w:val="24"/>
        </w:rPr>
        <w:t xml:space="preserve">1) наличие устойчивых рынков сбыта продукции;</w:t>
      </w:r>
    </w:p>
    <w:p>
      <w:pPr>
        <w:spacing w:after="60"/>
        <w:ind w:firstLine="567"/>
        <w:jc w:val="both"/>
      </w:pPr>
      <w:r>
        <w:rPr>
          <w:rFonts w:ascii="Arial" w:cs="Arial" w:eastAsia="Arial" w:hAnsi="Arial"/>
          <w:sz w:val="24"/>
          <w:szCs w:val="24"/>
        </w:rPr>
        <w:t xml:space="preserve">2) применение в производстве передовых технологий, позволяющих выпускать конкурентную на внешних рынках продукцию;</w:t>
      </w:r>
    </w:p>
    <w:p>
      <w:pPr>
        <w:spacing w:after="60"/>
        <w:ind w:firstLine="567"/>
        <w:jc w:val="both"/>
      </w:pPr>
      <w:r>
        <w:rPr>
          <w:rFonts w:ascii="Arial" w:cs="Arial" w:eastAsia="Arial" w:hAnsi="Arial"/>
          <w:sz w:val="24"/>
          <w:szCs w:val="24"/>
        </w:rPr>
        <w:t xml:space="preserve">3) наличие собственных ресурсов на развитие или доступ к кредитным ресурсам.</w:t>
      </w:r>
    </w:p>
    <w:p>
      <w:pPr>
        <w:spacing w:after="60"/>
        <w:ind w:firstLine="567"/>
        <w:jc w:val="both"/>
      </w:pPr>
      <w:r>
        <w:rPr>
          <w:rFonts w:ascii="Arial" w:cs="Arial" w:eastAsia="Arial" w:hAnsi="Arial"/>
          <w:sz w:val="24"/>
          <w:szCs w:val="24"/>
        </w:rPr>
        <w:t xml:space="preserve">Создание привлекательных условий для внутренних и внешних инвесторов будет способствовать развитию специализации опорных точек роста.</w:t>
      </w:r>
    </w:p>
    <w:p>
      <w:pPr>
        <w:spacing w:after="60"/>
        <w:ind w:firstLine="567"/>
        <w:jc w:val="both"/>
      </w:pPr>
      <w:r>
        <w:rPr>
          <w:rFonts w:ascii="Arial" w:cs="Arial" w:eastAsia="Arial" w:hAnsi="Arial"/>
          <w:sz w:val="24"/>
          <w:szCs w:val="24"/>
        </w:rPr>
        <w:t xml:space="preserve">На основе анализа ситуации в перерабатывающей промышленности на уровне регионов можно сделать следующие выводы:</w:t>
      </w:r>
    </w:p>
    <w:p>
      <w:pPr>
        <w:spacing w:after="60"/>
        <w:ind w:firstLine="567"/>
        <w:jc w:val="both"/>
      </w:pPr>
      <w:r>
        <w:rPr>
          <w:rFonts w:ascii="Arial" w:cs="Arial" w:eastAsia="Arial" w:hAnsi="Arial"/>
          <w:sz w:val="24"/>
          <w:szCs w:val="24"/>
        </w:rPr>
        <w:t xml:space="preserve">1) в связи с увеличением объемов сельскохозяйственной продукции и ростом экспорта усиливается потребность фермеров в закупке их сырья для переработки;</w:t>
      </w:r>
    </w:p>
    <w:p>
      <w:pPr>
        <w:spacing w:after="60"/>
        <w:ind w:firstLine="567"/>
        <w:jc w:val="both"/>
      </w:pPr>
      <w:r>
        <w:rPr>
          <w:rFonts w:ascii="Arial" w:cs="Arial" w:eastAsia="Arial" w:hAnsi="Arial"/>
          <w:sz w:val="24"/>
          <w:szCs w:val="24"/>
        </w:rPr>
        <w:t xml:space="preserve">2) потенциальные опорные точки роста на уровне городов не смогли стать территориями, аккумулирующими местное сырье для переработки;</w:t>
      </w:r>
    </w:p>
    <w:p>
      <w:pPr>
        <w:spacing w:after="60"/>
        <w:ind w:firstLine="567"/>
        <w:jc w:val="both"/>
      </w:pPr>
      <w:r>
        <w:rPr>
          <w:rFonts w:ascii="Arial" w:cs="Arial" w:eastAsia="Arial" w:hAnsi="Arial"/>
          <w:sz w:val="24"/>
          <w:szCs w:val="24"/>
        </w:rPr>
        <w:t xml:space="preserve">3) государственные органы на уровне регионов и особенно органы местного самоуправления недостаточно используют возможности по привлечению инвесторов на основе льготной налоговой политики, созданию промышленной инфраструктуры в интересах бизнеса, обеспечению открытого и справедливого доступа к ресурсам.</w:t>
      </w:r>
    </w:p>
    <w:p>
      <w:pPr>
        <w:spacing w:after="200" w:before="200"/>
        <w:jc w:val="center"/>
      </w:pPr>
      <w:r>
        <w:rPr>
          <w:rFonts w:ascii="Arial" w:cs="Arial" w:eastAsia="Arial" w:hAnsi="Arial"/>
          <w:b/>
          <w:bCs/>
          <w:sz w:val="24"/>
          <w:szCs w:val="24"/>
        </w:rPr>
        <w:t xml:space="preserve">§ 2.2. Задачи по привлечению инвесторов и развитию перерабатывающей промышленности</w:t>
      </w:r>
    </w:p>
    <w:p>
      <w:pPr>
        <w:spacing w:after="120"/>
        <w:ind w:firstLine="567"/>
        <w:jc w:val="both"/>
      </w:pPr>
      <w:r>
        <w:rPr>
          <w:rFonts w:ascii="Arial" w:cs="Arial" w:eastAsia="Arial" w:hAnsi="Arial"/>
          <w:b/>
          <w:bCs/>
          <w:sz w:val="24"/>
          <w:szCs w:val="24"/>
        </w:rPr>
        <w:t xml:space="preserve">Задача 1. Создание в опорных точках роста благоприятных условий для привлечения инвесторов</w:t>
      </w:r>
    </w:p>
    <w:p>
      <w:pPr>
        <w:spacing w:after="120"/>
        <w:ind w:firstLine="567"/>
        <w:jc w:val="both"/>
      </w:pPr>
      <w:r>
        <w:rPr>
          <w:rFonts w:ascii="Arial" w:cs="Arial" w:eastAsia="Arial" w:hAnsi="Arial"/>
          <w:sz w:val="24"/>
          <w:szCs w:val="24"/>
        </w:rPr>
        <w:t xml:space="preserve">Ключевой задачей государственных органов и органов местного самоуправления должно стать создание в опорных точках роста благоприятных условий для привлечения инвестиций.</w:t>
      </w:r>
    </w:p>
    <w:p>
      <w:pPr>
        <w:spacing w:after="120"/>
        <w:ind w:firstLine="567"/>
        <w:jc w:val="both"/>
      </w:pPr>
      <w:r>
        <w:rPr>
          <w:rFonts w:ascii="Arial" w:cs="Arial" w:eastAsia="Arial" w:hAnsi="Arial"/>
          <w:sz w:val="24"/>
          <w:szCs w:val="24"/>
        </w:rPr>
        <w:t xml:space="preserve">Кроме того, необходимо содействие местных органов власти инвесторам при запуске производства, в результате которого будут снижены издержки инвесторов, их товары, работы, услуги станут конкурентоспособными на внешних рынках.</w:t>
      </w:r>
    </w:p>
    <w:p>
      <w:pPr>
        <w:spacing w:after="120"/>
        <w:ind w:firstLine="567"/>
        <w:jc w:val="both"/>
      </w:pPr>
      <w:r>
        <w:rPr>
          <w:rFonts w:ascii="Arial" w:cs="Arial" w:eastAsia="Arial" w:hAnsi="Arial"/>
          <w:sz w:val="24"/>
          <w:szCs w:val="24"/>
        </w:rPr>
        <w:t xml:space="preserve">Для снижения себестоимости продукции потенциальных инвесторов в программах социально-экономического развития опорных точек роста необходимо определить действия государственных органов и органов местного самоуправления по созданию в каждой опорной точке роста промышленных площадок с развитой промышленной инфраструктурой в виде подведенных систем водоснабжения, водоотведения, энергоснабжения и дорожной инфраструктурой, по утверждению обоснованных открытых правил отбора потенциальных инвесторов, претендующих на получение преференций.</w:t>
      </w:r>
    </w:p>
    <w:p>
      <w:pPr>
        <w:spacing w:after="120"/>
        <w:ind w:firstLine="567"/>
        <w:jc w:val="both"/>
      </w:pPr>
      <w:r>
        <w:rPr>
          <w:rFonts w:ascii="Arial" w:cs="Arial" w:eastAsia="Arial" w:hAnsi="Arial"/>
          <w:sz w:val="24"/>
          <w:szCs w:val="24"/>
        </w:rPr>
        <w:t xml:space="preserve">Привлекаемые инвесторы, для которых государством создаются благоприятные условия, должны отвечать следующим требованиям:</w:t>
      </w:r>
    </w:p>
    <w:p>
      <w:pPr>
        <w:spacing w:after="120"/>
        <w:ind w:firstLine="567"/>
        <w:jc w:val="both"/>
      </w:pPr>
      <w:r>
        <w:rPr>
          <w:rFonts w:ascii="Arial" w:cs="Arial" w:eastAsia="Arial" w:hAnsi="Arial"/>
          <w:sz w:val="24"/>
          <w:szCs w:val="24"/>
        </w:rPr>
        <w:t xml:space="preserve">- иметь устойчивые, подтвержденные рынки сбыта для экспорта продукции;</w:t>
      </w:r>
    </w:p>
    <w:p>
      <w:pPr>
        <w:spacing w:after="120"/>
        <w:ind w:firstLine="567"/>
        <w:jc w:val="both"/>
      </w:pPr>
      <w:r>
        <w:rPr>
          <w:rFonts w:ascii="Arial" w:cs="Arial" w:eastAsia="Arial" w:hAnsi="Arial"/>
          <w:sz w:val="24"/>
          <w:szCs w:val="24"/>
        </w:rPr>
        <w:t xml:space="preserve">- применять в своей работе инновационные технологии, обеспечивающие высокий уровень конкурентоспособности;</w:t>
      </w:r>
    </w:p>
    <w:p>
      <w:pPr>
        <w:spacing w:after="120"/>
        <w:ind w:firstLine="567"/>
        <w:jc w:val="both"/>
      </w:pPr>
      <w:r>
        <w:rPr>
          <w:rFonts w:ascii="Arial" w:cs="Arial" w:eastAsia="Arial" w:hAnsi="Arial"/>
          <w:sz w:val="24"/>
          <w:szCs w:val="24"/>
        </w:rPr>
        <w:t xml:space="preserve">- обеспечивать условия труда для своих работников, отвечающие требованиям национального законодательства о труде, в том числе в вопросах оплаты труда;</w:t>
      </w:r>
    </w:p>
    <w:p>
      <w:pPr>
        <w:spacing w:after="120"/>
        <w:ind w:firstLine="567"/>
        <w:jc w:val="both"/>
      </w:pPr>
      <w:r>
        <w:rPr>
          <w:rFonts w:ascii="Arial" w:cs="Arial" w:eastAsia="Arial" w:hAnsi="Arial"/>
          <w:sz w:val="24"/>
          <w:szCs w:val="24"/>
        </w:rPr>
        <w:t xml:space="preserve">- вовлекаться в программы по формированию и развитию в данном регионе новой культуры производства для других организаций, созданию и расширению групп инновационных производств;</w:t>
      </w:r>
    </w:p>
    <w:p>
      <w:pPr>
        <w:spacing w:after="120"/>
        <w:ind w:firstLine="567"/>
        <w:jc w:val="both"/>
      </w:pPr>
      <w:r>
        <w:rPr>
          <w:rFonts w:ascii="Arial" w:cs="Arial" w:eastAsia="Arial" w:hAnsi="Arial"/>
          <w:sz w:val="24"/>
          <w:szCs w:val="24"/>
        </w:rPr>
        <w:t xml:space="preserve">- вносить свой вклад в создание критической массы квалифицированных работников, что обеспечит привлекательность местных трудовых ресурсов.</w:t>
      </w:r>
    </w:p>
    <w:p>
      <w:pPr>
        <w:spacing w:after="120"/>
        <w:ind w:firstLine="567"/>
        <w:jc w:val="both"/>
      </w:pPr>
      <w:r>
        <w:rPr>
          <w:rFonts w:ascii="Arial" w:cs="Arial" w:eastAsia="Arial" w:hAnsi="Arial"/>
          <w:sz w:val="24"/>
          <w:szCs w:val="24"/>
        </w:rPr>
        <w:t xml:space="preserve">Особое внимание будет уделено привлечению инвесторов, вкладывающих средства в развитие "зеленой экономики". Применение энергосберегающих технологий, технологий по снижению выбросов парниковых газов и отходов производства станет одним из важных условий при отборе инвесторов.</w:t>
      </w:r>
    </w:p>
    <w:p>
      <w:pPr>
        <w:spacing w:after="120"/>
        <w:ind w:firstLine="567"/>
        <w:jc w:val="both"/>
      </w:pPr>
      <w:r>
        <w:rPr>
          <w:rFonts w:ascii="Arial" w:cs="Arial" w:eastAsia="Arial" w:hAnsi="Arial"/>
          <w:sz w:val="24"/>
          <w:szCs w:val="24"/>
        </w:rPr>
        <w:t xml:space="preserve">Для привлечения инвесторов в потенциальные опорные точки роста органы местного самоуправления должны создавать не менее 2-3 производственных площадок с преференциальными условиями в период 2025-2030 годов.</w:t>
      </w:r>
    </w:p>
    <w:p>
      <w:pPr>
        <w:spacing w:after="120"/>
        <w:ind w:firstLine="567"/>
        <w:jc w:val="both"/>
      </w:pPr>
      <w:r>
        <w:rPr>
          <w:rFonts w:ascii="Arial" w:cs="Arial" w:eastAsia="Arial" w:hAnsi="Arial"/>
          <w:sz w:val="24"/>
          <w:szCs w:val="24"/>
        </w:rPr>
        <w:t xml:space="preserve">Реализация этих мер создаст условия для формирования специализации региона по видам промышленного производства.</w:t>
      </w:r>
    </w:p>
    <w:p>
      <w:pPr>
        <w:spacing w:after="60" w:before="200"/>
        <w:ind w:firstLine="567"/>
        <w:jc w:val="left"/>
      </w:pPr>
      <w:r>
        <w:rPr>
          <w:rFonts w:ascii="Arial" w:cs="Arial" w:eastAsia="Arial" w:hAnsi="Arial"/>
          <w:b/>
          <w:bCs/>
          <w:sz w:val="24"/>
          <w:szCs w:val="24"/>
        </w:rPr>
        <w:t xml:space="preserve">Задача 2. Привлечение инвестиций для переработки сельскохозяйственной продукции региона, создания кластерного производства</w:t>
      </w:r>
    </w:p>
    <w:p>
      <w:pPr>
        <w:spacing w:after="60"/>
        <w:ind w:firstLine="567"/>
        <w:jc w:val="both"/>
      </w:pPr>
      <w:r>
        <w:rPr>
          <w:rFonts w:ascii="Arial" w:cs="Arial" w:eastAsia="Arial" w:hAnsi="Arial"/>
          <w:sz w:val="24"/>
          <w:szCs w:val="24"/>
        </w:rPr>
        <w:t xml:space="preserve">Особое внимание в опорных точках роста будет уделено привлечению инвестора для создания предприятия, перерабатывающего выращиваемую в соответствующем регионе продукцию.</w:t>
      </w:r>
    </w:p>
    <w:p>
      <w:pPr>
        <w:spacing w:after="60"/>
        <w:ind w:firstLine="567"/>
        <w:jc w:val="both"/>
      </w:pPr>
      <w:r>
        <w:rPr>
          <w:rFonts w:ascii="Arial" w:cs="Arial" w:eastAsia="Arial" w:hAnsi="Arial"/>
          <w:sz w:val="24"/>
          <w:szCs w:val="24"/>
        </w:rPr>
        <w:t xml:space="preserve">Для снижения риска срыва поставок сырья сельхозпроизводителями перерабатывающим предприятиям будут предоставляться на льготных условиях в аренду государственные земли для выращивания собственной сельхозпродукции. Вопросы выделения земель из состава Государственного фонда сельскохозяйственных угодий должны рассматриваться при подготовке программы социально-экономического развития соответствующей области.</w:t>
      </w:r>
    </w:p>
    <w:p>
      <w:pPr>
        <w:spacing w:after="60"/>
        <w:ind w:firstLine="567"/>
        <w:jc w:val="both"/>
      </w:pPr>
      <w:r>
        <w:rPr>
          <w:rFonts w:ascii="Arial" w:cs="Arial" w:eastAsia="Arial" w:hAnsi="Arial"/>
          <w:sz w:val="24"/>
          <w:szCs w:val="24"/>
        </w:rPr>
        <w:t xml:space="preserve">Потенциальные опорные точки роста будут вовлечены в реализацию программы развития пищевой и перерабатывающей промышленности Кыргызской Республики на 2023-2027 годы с применением кластерного развития, утвержденной </w:t>
      </w:r>
      <w:hyperlink w:history="1" r:id="rIdedj4s1bdbxtyyhvebolx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"Об утверждении </w:t>
      </w:r>
      <w:hyperlink w:history="1" r:id="rIdhs4wu5yb7ek_u2g0b1k1p">
        <w:r>
          <w:rPr>
            <w:rFonts w:ascii="Arial" w:cs="Arial" w:eastAsia="Arial" w:hAnsi="Arial"/>
            <w:color w:val="1D4ED8"/>
            <w:sz w:val="24"/>
            <w:szCs w:val="24"/>
            <w:u w:val="single"/>
          </w:rPr>
          <w:t xml:space="preserve">Программы</w:t>
        </w:r>
      </w:hyperlink>
      <w:r>
        <w:rPr>
          <w:rFonts w:ascii="Arial" w:cs="Arial" w:eastAsia="Arial" w:hAnsi="Arial"/>
          <w:sz w:val="24"/>
          <w:szCs w:val="24"/>
        </w:rPr>
        <w:t xml:space="preserve"> развития пищевой и перерабатывающей промышленности Кыргызской Республики на 2023-2027 годы с применением кластерного развития" от 12 декабря 2023 года № 671.</w:t>
      </w:r>
    </w:p>
    <w:p>
      <w:pPr>
        <w:spacing w:after="60"/>
        <w:ind w:firstLine="567"/>
        <w:jc w:val="both"/>
      </w:pPr>
      <w:r>
        <w:rPr>
          <w:rFonts w:ascii="Arial" w:cs="Arial" w:eastAsia="Arial" w:hAnsi="Arial"/>
          <w:sz w:val="24"/>
          <w:szCs w:val="24"/>
        </w:rPr>
        <w:t xml:space="preserve">В рамках реализации настоящей </w:t>
      </w:r>
      <w:hyperlink w:history="1" r:id="rIdjux1bx1k3f683m3nac5df">
        <w:r>
          <w:rPr>
            <w:rFonts w:ascii="Arial" w:cs="Arial" w:eastAsia="Arial" w:hAnsi="Arial"/>
            <w:color w:val="1D4ED8"/>
            <w:sz w:val="24"/>
            <w:szCs w:val="24"/>
            <w:u w:val="single"/>
          </w:rPr>
          <w:t xml:space="preserve">Программы</w:t>
        </w:r>
      </w:hyperlink>
      <w:r>
        <w:rPr>
          <w:rFonts w:ascii="Arial" w:cs="Arial" w:eastAsia="Arial" w:hAnsi="Arial"/>
          <w:sz w:val="24"/>
          <w:szCs w:val="24"/>
        </w:rPr>
        <w:t xml:space="preserve"> опорные точки роста будут вовлечены в реализацию следующих мер:</w:t>
      </w:r>
    </w:p>
    <w:p>
      <w:pPr>
        <w:spacing w:after="60"/>
        <w:ind w:firstLine="567"/>
        <w:jc w:val="both"/>
      </w:pPr>
      <w:r>
        <w:rPr>
          <w:rFonts w:ascii="Arial" w:cs="Arial" w:eastAsia="Arial" w:hAnsi="Arial"/>
          <w:sz w:val="24"/>
          <w:szCs w:val="24"/>
        </w:rPr>
        <w:t xml:space="preserve">1) создание 4 новых предприятий пищевой и перерабатывающей промышленности молочных кластеров по одному в Чуйской, Иссык-Кульской, Джалал-Абадской и Таласской областях;</w:t>
      </w:r>
    </w:p>
    <w:p>
      <w:pPr>
        <w:spacing w:after="60"/>
        <w:ind w:firstLine="567"/>
        <w:jc w:val="both"/>
      </w:pPr>
      <w:r>
        <w:rPr>
          <w:rFonts w:ascii="Arial" w:cs="Arial" w:eastAsia="Arial" w:hAnsi="Arial"/>
          <w:sz w:val="24"/>
          <w:szCs w:val="24"/>
        </w:rPr>
        <w:t xml:space="preserve">2) содействие в разработке ТЭО для строительства торгово-логистических центров и оптово-распределительных центров за счет средств Фондов развития регионов;</w:t>
      </w:r>
    </w:p>
    <w:p>
      <w:pPr>
        <w:spacing w:after="60"/>
        <w:ind w:firstLine="567"/>
        <w:jc w:val="both"/>
      </w:pPr>
      <w:r>
        <w:rPr>
          <w:rFonts w:ascii="Arial" w:cs="Arial" w:eastAsia="Arial" w:hAnsi="Arial"/>
          <w:sz w:val="24"/>
          <w:szCs w:val="24"/>
        </w:rPr>
        <w:t xml:space="preserve">3) создание условий для привлечения инвесторов в целях строительства торгово-логистического центра в Иссык-Кульской области;</w:t>
      </w:r>
    </w:p>
    <w:p>
      <w:pPr>
        <w:spacing w:after="60"/>
        <w:ind w:firstLine="567"/>
        <w:jc w:val="both"/>
      </w:pPr>
      <w:r>
        <w:rPr>
          <w:rFonts w:ascii="Arial" w:cs="Arial" w:eastAsia="Arial" w:hAnsi="Arial"/>
          <w:sz w:val="24"/>
          <w:szCs w:val="24"/>
        </w:rPr>
        <w:t xml:space="preserve">4) содействие в привлечении инвесторов для создания логистического центра в Джалал-Абадской, Чуйской областях с целью организации экспорта рыбы и рыбной продукции, 2 логистических центров в Баткенской области с целью организации экспорта и реэкспорта сельскохозяйственной продукции.</w:t>
      </w:r>
    </w:p>
    <w:p>
      <w:pPr>
        <w:spacing w:after="60" w:before="200"/>
        <w:ind w:firstLine="567"/>
        <w:jc w:val="left"/>
      </w:pPr>
      <w:r>
        <w:rPr>
          <w:rFonts w:ascii="Arial" w:cs="Arial" w:eastAsia="Arial" w:hAnsi="Arial"/>
          <w:b/>
          <w:bCs/>
          <w:sz w:val="24"/>
          <w:szCs w:val="24"/>
        </w:rPr>
        <w:t xml:space="preserve">Задача 3. Развитие креативных индустрий</w:t>
      </w:r>
    </w:p>
    <w:p>
      <w:pPr>
        <w:spacing w:after="60"/>
        <w:ind w:firstLine="567"/>
        <w:jc w:val="both"/>
      </w:pPr>
      <w:r>
        <w:rPr>
          <w:rFonts w:ascii="Arial" w:cs="Arial" w:eastAsia="Arial" w:hAnsi="Arial"/>
          <w:sz w:val="24"/>
          <w:szCs w:val="24"/>
        </w:rPr>
        <w:t xml:space="preserve">В мировой практике с каждым годом усиливается влияние креативной индустрии на развитие экономики, реформирование отдельных отраслей экономики, внедрение инновационных подходов ведения сельскохозяйственной деятельности, повышение добавленной стоимости сельскохозяйственной продукции.</w:t>
      </w:r>
    </w:p>
    <w:p>
      <w:pPr>
        <w:spacing w:after="60"/>
        <w:ind w:firstLine="567"/>
        <w:jc w:val="both"/>
      </w:pPr>
      <w:r>
        <w:rPr>
          <w:rFonts w:ascii="Arial" w:cs="Arial" w:eastAsia="Arial" w:hAnsi="Arial"/>
          <w:sz w:val="24"/>
          <w:szCs w:val="24"/>
        </w:rPr>
        <w:t xml:space="preserve">Развитие креативных индустрий является новым направлением в экономике Кыргызской Республики.</w:t>
      </w:r>
    </w:p>
    <w:p>
      <w:pPr>
        <w:spacing w:after="60"/>
        <w:ind w:firstLine="567"/>
        <w:jc w:val="both"/>
      </w:pPr>
      <w:r>
        <w:rPr>
          <w:rFonts w:ascii="Arial" w:cs="Arial" w:eastAsia="Arial" w:hAnsi="Arial"/>
          <w:sz w:val="24"/>
          <w:szCs w:val="24"/>
        </w:rPr>
        <w:t xml:space="preserve">В 2022 году принят </w:t>
      </w:r>
      <w:hyperlink w:history="1" r:id="rId3pqxsrux3dr81or5x4ibh">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парке креативных индустрий", утверждена Концепция развития креативной экономики в Кыргызской Республике на 2022-2026 годы и План действий Кабинета Министров Кыргызской Республики по реализации данной Концепции. Для режима парка креативных индустрий в рамках налогового законодательства и страховых взносов предусмотрены преференции.</w:t>
      </w:r>
    </w:p>
    <w:p>
      <w:pPr>
        <w:spacing w:after="60"/>
        <w:ind w:firstLine="567"/>
        <w:jc w:val="both"/>
      </w:pPr>
      <w:r>
        <w:rPr>
          <w:rFonts w:ascii="Arial" w:cs="Arial" w:eastAsia="Arial" w:hAnsi="Arial"/>
          <w:sz w:val="24"/>
          <w:szCs w:val="24"/>
        </w:rPr>
        <w:t xml:space="preserve">В числе наиболее важных поставлены следующие задачи:</w:t>
      </w:r>
    </w:p>
    <w:p>
      <w:pPr>
        <w:spacing w:after="60"/>
        <w:ind w:firstLine="567"/>
        <w:jc w:val="both"/>
      </w:pPr>
      <w:r>
        <w:rPr>
          <w:rFonts w:ascii="Arial" w:cs="Arial" w:eastAsia="Arial" w:hAnsi="Arial"/>
          <w:sz w:val="24"/>
          <w:szCs w:val="24"/>
        </w:rPr>
        <w:t xml:space="preserve">1) формирование на региональном (городском) уровне собственных брендов по креативной индустрии для их продвижения;</w:t>
      </w:r>
    </w:p>
    <w:p>
      <w:pPr>
        <w:spacing w:after="60"/>
        <w:ind w:firstLine="567"/>
        <w:jc w:val="both"/>
      </w:pPr>
      <w:r>
        <w:rPr>
          <w:rFonts w:ascii="Arial" w:cs="Arial" w:eastAsia="Arial" w:hAnsi="Arial"/>
          <w:sz w:val="24"/>
          <w:szCs w:val="24"/>
        </w:rPr>
        <w:t xml:space="preserve">2) организация креативных хабов, творческих инкубаторов и центров;</w:t>
      </w:r>
    </w:p>
    <w:p>
      <w:pPr>
        <w:spacing w:after="60"/>
        <w:ind w:firstLine="567"/>
        <w:jc w:val="both"/>
      </w:pPr>
      <w:r>
        <w:rPr>
          <w:rFonts w:ascii="Arial" w:cs="Arial" w:eastAsia="Arial" w:hAnsi="Arial"/>
          <w:sz w:val="24"/>
          <w:szCs w:val="24"/>
        </w:rPr>
        <w:t xml:space="preserve">3) популяризация в регионах (городах) важности и актуальности креативной экономики для населения,</w:t>
      </w:r>
    </w:p>
    <w:p>
      <w:pPr>
        <w:spacing w:after="60"/>
        <w:ind w:firstLine="567"/>
        <w:jc w:val="both"/>
      </w:pPr>
      <w:r>
        <w:rPr>
          <w:rFonts w:ascii="Arial" w:cs="Arial" w:eastAsia="Arial" w:hAnsi="Arial"/>
          <w:sz w:val="24"/>
          <w:szCs w:val="24"/>
        </w:rPr>
        <w:t xml:space="preserve">4) разработка и внедрение моделей государственно-частного партнерства в сфере креативных индустрий в регионах (городах).</w:t>
      </w:r>
    </w:p>
    <w:p>
      <w:pPr>
        <w:spacing w:after="60"/>
        <w:ind w:firstLine="567"/>
        <w:jc w:val="both"/>
      </w:pPr>
      <w:r>
        <w:rPr>
          <w:rFonts w:ascii="Arial" w:cs="Arial" w:eastAsia="Arial" w:hAnsi="Arial"/>
          <w:sz w:val="24"/>
          <w:szCs w:val="24"/>
        </w:rPr>
        <w:t xml:space="preserve">Положительно оценивается выделение из местного бюджета на ежегодной основе финансовых ресурсов для реализации на конкурсной основе креативных, инновационных проектов.</w:t>
      </w:r>
    </w:p>
    <w:p>
      <w:pPr>
        <w:spacing w:after="200" w:before="200"/>
        <w:jc w:val="center"/>
      </w:pPr>
      <w:r>
        <w:rPr>
          <w:rFonts w:ascii="Arial" w:cs="Arial" w:eastAsia="Arial" w:hAnsi="Arial"/>
          <w:b/>
          <w:bCs/>
          <w:sz w:val="24"/>
          <w:szCs w:val="24"/>
        </w:rPr>
        <w:t xml:space="preserve">§ 2.3. Ожидаемые результаты</w:t>
      </w:r>
    </w:p>
    <w:p>
      <w:pPr>
        <w:spacing w:after="60"/>
        <w:ind w:firstLine="567"/>
        <w:jc w:val="both"/>
      </w:pPr>
      <w:r>
        <w:rPr>
          <w:rFonts w:ascii="Arial" w:cs="Arial" w:eastAsia="Arial" w:hAnsi="Arial"/>
          <w:sz w:val="24"/>
          <w:szCs w:val="24"/>
        </w:rPr>
        <w:t xml:space="preserve">По итогам реализации задач, направленных на привлечение инвесторов и развитие перерабатывающей промышленности, ожидается достижение следующих результатов:</w:t>
      </w:r>
    </w:p>
    <w:p>
      <w:pPr>
        <w:spacing w:after="60"/>
        <w:ind w:firstLine="567"/>
        <w:jc w:val="both"/>
      </w:pPr>
      <w:r>
        <w:rPr>
          <w:rFonts w:ascii="Arial" w:cs="Arial" w:eastAsia="Arial" w:hAnsi="Arial"/>
          <w:sz w:val="24"/>
          <w:szCs w:val="24"/>
        </w:rPr>
        <w:t xml:space="preserve">1) в каждой опорной точке роста создано не менее 2 производственных площадок для привлечения инвесторов;</w:t>
      </w:r>
    </w:p>
    <w:p>
      <w:pPr>
        <w:spacing w:after="60"/>
        <w:ind w:firstLine="567"/>
        <w:jc w:val="both"/>
      </w:pPr>
      <w:r>
        <w:rPr>
          <w:rFonts w:ascii="Arial" w:cs="Arial" w:eastAsia="Arial" w:hAnsi="Arial"/>
          <w:sz w:val="24"/>
          <w:szCs w:val="24"/>
        </w:rPr>
        <w:t xml:space="preserve">2) к 2026 году в каждой опорной точке роста функционируют не менее 2 якорных предприятий, формирующих сельскохозяйственный кластер в регионе;</w:t>
      </w:r>
    </w:p>
    <w:p>
      <w:pPr>
        <w:spacing w:after="60"/>
        <w:ind w:firstLine="567"/>
        <w:jc w:val="both"/>
      </w:pPr>
      <w:r>
        <w:rPr>
          <w:rFonts w:ascii="Arial" w:cs="Arial" w:eastAsia="Arial" w:hAnsi="Arial"/>
          <w:sz w:val="24"/>
          <w:szCs w:val="24"/>
        </w:rPr>
        <w:t xml:space="preserve">3) к 2026 году во всех областных центрах разработаны мастер-планы по приоритетным направлениям развития опорной точки роста;</w:t>
      </w:r>
    </w:p>
    <w:p>
      <w:pPr>
        <w:spacing w:after="60"/>
        <w:ind w:firstLine="567"/>
        <w:jc w:val="both"/>
      </w:pPr>
      <w:r>
        <w:rPr>
          <w:rFonts w:ascii="Arial" w:cs="Arial" w:eastAsia="Arial" w:hAnsi="Arial"/>
          <w:sz w:val="24"/>
          <w:szCs w:val="24"/>
        </w:rPr>
        <w:t xml:space="preserve">4) достигнут ежегодный рост объемов прямых инвестиций не менее 20% в год;</w:t>
      </w:r>
    </w:p>
    <w:p>
      <w:pPr>
        <w:spacing w:after="60"/>
        <w:ind w:firstLine="567"/>
        <w:jc w:val="both"/>
      </w:pPr>
      <w:r>
        <w:rPr>
          <w:rFonts w:ascii="Arial" w:cs="Arial" w:eastAsia="Arial" w:hAnsi="Arial"/>
          <w:sz w:val="24"/>
          <w:szCs w:val="24"/>
        </w:rPr>
        <w:t xml:space="preserve">5) обеспечен ежегодный рост объемов экспорта продукции перерабатывающей промышленности не менее 10% в год;</w:t>
      </w:r>
    </w:p>
    <w:p>
      <w:pPr>
        <w:spacing w:after="60"/>
        <w:ind w:firstLine="567"/>
        <w:jc w:val="both"/>
      </w:pPr>
      <w:r>
        <w:rPr>
          <w:rFonts w:ascii="Arial" w:cs="Arial" w:eastAsia="Arial" w:hAnsi="Arial"/>
          <w:sz w:val="24"/>
          <w:szCs w:val="24"/>
        </w:rPr>
        <w:t xml:space="preserve">6) средний размер заработной платы работников производственной сферы на территории населенного пункта опорной точки роста выше средней заработной платы в соответствующей области не менее чем на 20%.</w:t>
      </w:r>
    </w:p>
    <w:p>
      <w:pPr>
        <w:spacing w:after="200" w:before="200"/>
        <w:jc w:val="center"/>
      </w:pPr>
      <w:r>
        <w:rPr>
          <w:rFonts w:ascii="Arial" w:cs="Arial" w:eastAsia="Arial" w:hAnsi="Arial"/>
          <w:b/>
          <w:bCs/>
          <w:sz w:val="24"/>
          <w:szCs w:val="24"/>
        </w:rPr>
        <w:t xml:space="preserve">Раздел 3. Улучшение инфраструктуры опорной точки развития</w:t>
      </w:r>
    </w:p>
    <w:p>
      <w:pPr>
        <w:spacing w:after="200" w:before="200"/>
        <w:jc w:val="center"/>
      </w:pPr>
      <w:r>
        <w:rPr>
          <w:rFonts w:ascii="Arial" w:cs="Arial" w:eastAsia="Arial" w:hAnsi="Arial"/>
          <w:b/>
          <w:bCs/>
          <w:sz w:val="24"/>
          <w:szCs w:val="24"/>
        </w:rPr>
        <w:t xml:space="preserve">§ 3.1. Анализ состояния инфраструктуры населенных пунктов</w:t>
      </w:r>
    </w:p>
    <w:p>
      <w:pPr>
        <w:spacing w:after="60"/>
        <w:ind w:firstLine="567"/>
        <w:jc w:val="both"/>
      </w:pPr>
      <w:r>
        <w:rPr>
          <w:rFonts w:ascii="Arial" w:cs="Arial" w:eastAsia="Arial" w:hAnsi="Arial"/>
          <w:sz w:val="24"/>
          <w:szCs w:val="24"/>
        </w:rPr>
        <w:t xml:space="preserve">Отличительной особенностью опорной точки роста является обеспеченность населенного пункта объектами инфраструктуры, которые выполняют следующие задачи:</w:t>
      </w:r>
    </w:p>
    <w:p>
      <w:pPr>
        <w:spacing w:after="60"/>
        <w:ind w:firstLine="567"/>
        <w:jc w:val="both"/>
      </w:pPr>
      <w:r>
        <w:rPr>
          <w:rFonts w:ascii="Arial" w:cs="Arial" w:eastAsia="Arial" w:hAnsi="Arial"/>
          <w:sz w:val="24"/>
          <w:szCs w:val="24"/>
        </w:rPr>
        <w:t xml:space="preserve">1) создание условий для развития предпринимательства (энергоснабжение, водоснабжение, утилизация отходов, строительство подъездных путей и т.д.);</w:t>
      </w:r>
    </w:p>
    <w:p>
      <w:pPr>
        <w:spacing w:after="60"/>
        <w:ind w:firstLine="567"/>
        <w:jc w:val="both"/>
      </w:pPr>
      <w:r>
        <w:rPr>
          <w:rFonts w:ascii="Arial" w:cs="Arial" w:eastAsia="Arial" w:hAnsi="Arial"/>
          <w:sz w:val="24"/>
          <w:szCs w:val="24"/>
        </w:rPr>
        <w:t xml:space="preserve">2) обеспечение потребностей населения в социальной инфраструктуре (школы, детские сады, инфраструктура по оказанию социальной помощи уязвимым группам граждан);</w:t>
      </w:r>
    </w:p>
    <w:p>
      <w:pPr>
        <w:spacing w:after="60"/>
        <w:ind w:firstLine="567"/>
        <w:jc w:val="both"/>
      </w:pPr>
      <w:r>
        <w:rPr>
          <w:rFonts w:ascii="Arial" w:cs="Arial" w:eastAsia="Arial" w:hAnsi="Arial"/>
          <w:sz w:val="24"/>
          <w:szCs w:val="24"/>
        </w:rPr>
        <w:t xml:space="preserve">3) создание комфортных условий для жизни граждан (дороги, тротуары, театры, кинотеатры, спортивные комплексы, парки, скверы).</w:t>
      </w:r>
    </w:p>
    <w:p>
      <w:pPr>
        <w:spacing w:after="60"/>
        <w:ind w:firstLine="567"/>
        <w:jc w:val="both"/>
      </w:pPr>
      <w:r>
        <w:rPr>
          <w:rFonts w:ascii="Arial" w:cs="Arial" w:eastAsia="Arial" w:hAnsi="Arial"/>
          <w:sz w:val="24"/>
          <w:szCs w:val="24"/>
        </w:rPr>
        <w:t xml:space="preserve">В значительной степени развитие инфраструктуры населенных пунктов зависит от возможности местных бюджетов финансировать строительство или приобретение основных средств. Анализ исполнения местных бюджетов за 2023 год показал, что расходы на приобретение новых основных средств (активов) всех органов местного самоуправления составили 19,7 млрд. сомов или 39,8% от всех доходов местных бюджетов. Аналогичные расходы на приобретение, строительство новых объектов для городов областного значения составляют 2,86 млрд. сомов или 48,7% доходов местных бюджетов городов областного значения. Но, несмотря на это, анализ расходов местных бюджетов в абсолютных числах показывает, что только за счет местных бюджетов без поддержки внешнего финансирования очень сложно реализовать проекты по улучшению городской инфраструктуры в таких капиталоемких сферах, как питьевое водоснабжение, водоотведение, энергоснабжение, утилизация отходов, дорожное строительство.</w:t>
      </w:r>
    </w:p>
    <w:p>
      <w:pPr>
        <w:spacing w:after="60"/>
        <w:ind w:firstLine="567"/>
        <w:jc w:val="both"/>
      </w:pPr>
      <w:r>
        <w:rPr>
          <w:rFonts w:ascii="Arial" w:cs="Arial" w:eastAsia="Arial" w:hAnsi="Arial"/>
          <w:sz w:val="24"/>
          <w:szCs w:val="24"/>
        </w:rPr>
        <w:t xml:space="preserve">За последние годы поддержка работ (проектов) по улучшению городской инфраструктуры была оказана за счет целевых трансфертов из республиканского бюджета. Только в 2024 году целевые трансферты в объеме более 6 млрд. сомов были предоставлены городам: Каракол, Джалал-Абад, Токмок, Кара-Балта, Талас, Кербен.</w:t>
      </w:r>
    </w:p>
    <w:p>
      <w:pPr>
        <w:spacing w:after="60"/>
        <w:ind w:firstLine="567"/>
        <w:jc w:val="both"/>
      </w:pPr>
      <w:r>
        <w:rPr>
          <w:rFonts w:ascii="Arial" w:cs="Arial" w:eastAsia="Arial" w:hAnsi="Arial"/>
          <w:sz w:val="24"/>
          <w:szCs w:val="24"/>
        </w:rPr>
        <w:t xml:space="preserve">В ходе административно-территориальной реформы на уровне айыльных аймаков и городов Кыргызской Республики территории ряда городов укрупнены за счет присоединения к ним территорий айылных аймаков. В связи с чем для таких городов одним из приоритетов станет формирование городской инфраструктуры в присоединенных территориях.</w:t>
      </w:r>
    </w:p>
    <w:p>
      <w:pPr>
        <w:spacing w:after="60"/>
        <w:ind w:firstLine="567"/>
        <w:jc w:val="both"/>
      </w:pPr>
      <w:r>
        <w:rPr>
          <w:rFonts w:ascii="Arial" w:cs="Arial" w:eastAsia="Arial" w:hAnsi="Arial"/>
          <w:sz w:val="24"/>
          <w:szCs w:val="24"/>
        </w:rPr>
        <w:t xml:space="preserve">В целях создания привлекательных условий для жизни в опорных точках роста особое внимание уделяется ипотечному жилищному строительству, в рамках которого к 2030 году в Кыргызской Республике запланировано введение в строительство до 40000 квартир на условиях ипотеки, предоставляемой на срок от 15 до 25 лет, со ставкой кредитования от 4 до 8% в год. В настоящее время по республике начато строительство ипотечного жилья: в городе Бишкек - 20100 квартир, в городе Баткен - 2364 квартир, в городе Талас - 310 квартир, в городе Ош - 528 квартир, в городе Джалал-Абад - 639 квартир.</w:t>
      </w:r>
    </w:p>
    <w:p>
      <w:pPr>
        <w:spacing w:after="60"/>
        <w:ind w:firstLine="567"/>
        <w:jc w:val="both"/>
      </w:pPr>
      <w:r>
        <w:rPr>
          <w:rFonts w:ascii="Arial" w:cs="Arial" w:eastAsia="Arial" w:hAnsi="Arial"/>
          <w:sz w:val="24"/>
          <w:szCs w:val="24"/>
        </w:rPr>
        <w:t xml:space="preserve">Текущий анализ состояния инфраструктуры населенных пунктов показывает следующее:</w:t>
      </w:r>
    </w:p>
    <w:p>
      <w:pPr>
        <w:spacing w:after="60"/>
        <w:ind w:firstLine="567"/>
        <w:jc w:val="both"/>
      </w:pPr>
      <w:r>
        <w:rPr>
          <w:rFonts w:ascii="Arial" w:cs="Arial" w:eastAsia="Arial" w:hAnsi="Arial"/>
          <w:sz w:val="24"/>
          <w:szCs w:val="24"/>
        </w:rPr>
        <w:t xml:space="preserve">1) есть предпосылки для значительного улучшения состояния городской инфраструктуры за счет совместного финансирования из республиканского и местного бюджетов, а также других внешних источников финансирования;</w:t>
      </w:r>
    </w:p>
    <w:p>
      <w:pPr>
        <w:spacing w:after="60"/>
        <w:ind w:firstLine="567"/>
        <w:jc w:val="both"/>
      </w:pPr>
      <w:r>
        <w:rPr>
          <w:rFonts w:ascii="Arial" w:cs="Arial" w:eastAsia="Arial" w:hAnsi="Arial"/>
          <w:sz w:val="24"/>
          <w:szCs w:val="24"/>
        </w:rPr>
        <w:t xml:space="preserve">2) созданы благоприятные условия для привлечения граждан в города посредством доступа к ипотечному жилью;</w:t>
      </w:r>
    </w:p>
    <w:p>
      <w:pPr>
        <w:spacing w:after="60"/>
        <w:ind w:firstLine="567"/>
        <w:jc w:val="both"/>
      </w:pPr>
      <w:r>
        <w:rPr>
          <w:rFonts w:ascii="Arial" w:cs="Arial" w:eastAsia="Arial" w:hAnsi="Arial"/>
          <w:sz w:val="24"/>
          <w:szCs w:val="24"/>
        </w:rPr>
        <w:t xml:space="preserve">3) органы местного самоуправления городов в настоящее время в недостаточной степени уделяют внимание формированию промышленной инфраструктуры, работающей на интересы бизнеса.</w:t>
      </w:r>
    </w:p>
    <w:p>
      <w:pPr>
        <w:spacing w:after="200" w:before="200"/>
        <w:jc w:val="center"/>
      </w:pPr>
      <w:r>
        <w:rPr>
          <w:rFonts w:ascii="Arial" w:cs="Arial" w:eastAsia="Arial" w:hAnsi="Arial"/>
          <w:b/>
          <w:bCs/>
          <w:sz w:val="24"/>
          <w:szCs w:val="24"/>
        </w:rPr>
        <w:t xml:space="preserve">§ 3.2. Задачи по улучшению инфраструктуры опорной точки роста</w:t>
      </w:r>
    </w:p>
    <w:p>
      <w:pPr>
        <w:spacing w:after="60" w:before="200"/>
        <w:ind w:firstLine="567"/>
        <w:jc w:val="left"/>
      </w:pPr>
      <w:r>
        <w:rPr>
          <w:rFonts w:ascii="Arial" w:cs="Arial" w:eastAsia="Arial" w:hAnsi="Arial"/>
          <w:b/>
          <w:bCs/>
          <w:sz w:val="24"/>
          <w:szCs w:val="24"/>
        </w:rPr>
        <w:t xml:space="preserve">Задача 1. Устойчивое наращивание финансирования объектов инфраструктуры</w:t>
      </w:r>
    </w:p>
    <w:p>
      <w:pPr>
        <w:spacing w:after="60"/>
        <w:ind w:firstLine="567"/>
        <w:jc w:val="both"/>
      </w:pPr>
      <w:r>
        <w:rPr>
          <w:rFonts w:ascii="Arial" w:cs="Arial" w:eastAsia="Arial" w:hAnsi="Arial"/>
          <w:sz w:val="24"/>
          <w:szCs w:val="24"/>
        </w:rPr>
        <w:t xml:space="preserve">Населенные пункты, претендующие на статус опорной точки роста, должны обладать развитой инфраструктурой, обеспечивающей хорошее качество жизни населения. Прежде всего это касается внутренних дорог, парков, скверов, городских площадей и другой аналогичной инфраструктуры, определяющей облик населенного пункта, в котором созданы комфортные условия для жизнедеятельности человека. Такие опорные точки роста должны стать образцом для других населенных пунктов, демонстрируя поступательный пример наращивания финансирования объектов инфраструктуры.</w:t>
      </w:r>
    </w:p>
    <w:p>
      <w:pPr>
        <w:spacing w:after="60"/>
        <w:ind w:firstLine="567"/>
        <w:jc w:val="both"/>
      </w:pPr>
      <w:r>
        <w:rPr>
          <w:rFonts w:ascii="Arial" w:cs="Arial" w:eastAsia="Arial" w:hAnsi="Arial"/>
          <w:sz w:val="24"/>
          <w:szCs w:val="24"/>
        </w:rPr>
        <w:t xml:space="preserve">В программах социально-экономического развития опорных точек роста необходимо предусмотреть меры по развитию городской инфраструктуры. Объем финансирования капитальных вложений из местного бюджета на реконструкцию, новое строительство объектов в рамках реализации инфраструктурных проектов должно быть не менее 20% от общих доходов местного бюджета. Кроме этого, ежегодно орган местного самоуправления должен формировать муниципальный заказ на выполнение работ по ремонту объектов инфраструктуры.</w:t>
      </w:r>
    </w:p>
    <w:p>
      <w:pPr>
        <w:spacing w:after="60"/>
        <w:ind w:firstLine="567"/>
        <w:jc w:val="both"/>
      </w:pPr>
      <w:r>
        <w:rPr>
          <w:rFonts w:ascii="Arial" w:cs="Arial" w:eastAsia="Arial" w:hAnsi="Arial"/>
          <w:sz w:val="24"/>
          <w:szCs w:val="24"/>
        </w:rPr>
        <w:t xml:space="preserve">При выделении средств из республиканского бюджета приоритетными будут проекты, основанные на принципах государственно-частного партнерства. В том числе поддерживаться будут проекты, направленные на финансирование производственной инфраструктуры, предназначенной для развития бизнеса: объекты энергоснабжения, водоснабжения и водоотведения, дороги, здания, сооружения и другие.</w:t>
      </w:r>
    </w:p>
    <w:p>
      <w:pPr>
        <w:spacing w:after="60" w:before="200"/>
        <w:ind w:firstLine="567"/>
        <w:jc w:val="left"/>
      </w:pPr>
      <w:r>
        <w:rPr>
          <w:rFonts w:ascii="Arial" w:cs="Arial" w:eastAsia="Arial" w:hAnsi="Arial"/>
          <w:b/>
          <w:bCs/>
          <w:sz w:val="24"/>
          <w:szCs w:val="24"/>
        </w:rPr>
        <w:t xml:space="preserve">Задача 2. Развитие ипотечного жилищного строительства</w:t>
      </w:r>
    </w:p>
    <w:p>
      <w:pPr>
        <w:spacing w:after="60"/>
        <w:ind w:firstLine="567"/>
        <w:jc w:val="both"/>
      </w:pPr>
      <w:r>
        <w:rPr>
          <w:rFonts w:ascii="Arial" w:cs="Arial" w:eastAsia="Arial" w:hAnsi="Arial"/>
          <w:sz w:val="24"/>
          <w:szCs w:val="24"/>
        </w:rPr>
        <w:t xml:space="preserve">Важной характеристикой опорной точки роста является ее способность как обеспечить жильем жителей населенных пунктов, так и предоставить возможность приобретения доступного жилья приезжающим на постоянное место жительства гражданам.</w:t>
      </w:r>
    </w:p>
    <w:p>
      <w:pPr>
        <w:spacing w:after="60"/>
        <w:ind w:firstLine="567"/>
        <w:jc w:val="both"/>
      </w:pPr>
      <w:r>
        <w:rPr>
          <w:rFonts w:ascii="Arial" w:cs="Arial" w:eastAsia="Arial" w:hAnsi="Arial"/>
          <w:sz w:val="24"/>
          <w:szCs w:val="24"/>
        </w:rPr>
        <w:t xml:space="preserve">Поэтому в опорных точках роста особое внимание должно быть уделено развитию ипотечного жилищного строительства. Местные органы власти окажут содействие завершению начатых программ по жилищному строительству, а также содействие Государственной Ипотечной Компании в выделении земельных участков и формировании инфраструктуры, необходимой для строительства жилья.</w:t>
      </w:r>
    </w:p>
    <w:p>
      <w:pPr>
        <w:spacing w:after="60"/>
        <w:ind w:firstLine="567"/>
        <w:jc w:val="both"/>
      </w:pPr>
      <w:r>
        <w:rPr>
          <w:rFonts w:ascii="Arial" w:cs="Arial" w:eastAsia="Arial" w:hAnsi="Arial"/>
          <w:sz w:val="24"/>
          <w:szCs w:val="24"/>
        </w:rPr>
        <w:t xml:space="preserve">Опорной точке роста будет рекомендовано развивать муниципальные ипотечные программы. Примером является деятельность муниципального ипотечного предприятия в городе Ош, которое за период с 2022 года по настоящее время ввело в эксплуатацию и продолжает строительство более 1000 квартир.</w:t>
      </w:r>
    </w:p>
    <w:p>
      <w:pPr>
        <w:spacing w:after="200" w:before="200"/>
        <w:jc w:val="center"/>
      </w:pPr>
      <w:r>
        <w:rPr>
          <w:rFonts w:ascii="Arial" w:cs="Arial" w:eastAsia="Arial" w:hAnsi="Arial"/>
          <w:b/>
          <w:bCs/>
          <w:sz w:val="24"/>
          <w:szCs w:val="24"/>
        </w:rPr>
        <w:t xml:space="preserve">§ 3.3. Ожидаемые результаты</w:t>
      </w:r>
    </w:p>
    <w:p>
      <w:pPr>
        <w:spacing w:after="60"/>
        <w:ind w:firstLine="567"/>
        <w:jc w:val="both"/>
      </w:pPr>
      <w:r>
        <w:rPr>
          <w:rFonts w:ascii="Arial" w:cs="Arial" w:eastAsia="Arial" w:hAnsi="Arial"/>
          <w:sz w:val="24"/>
          <w:szCs w:val="24"/>
        </w:rPr>
        <w:t xml:space="preserve">По итогам реализации задач, направленных на улучшение инфраструктуры опорной точки развития, ожидается достижение следующих результатов:</w:t>
      </w:r>
    </w:p>
    <w:p>
      <w:pPr>
        <w:spacing w:after="60"/>
        <w:ind w:firstLine="567"/>
        <w:jc w:val="both"/>
      </w:pPr>
      <w:r>
        <w:rPr>
          <w:rFonts w:ascii="Arial" w:cs="Arial" w:eastAsia="Arial" w:hAnsi="Arial"/>
          <w:sz w:val="24"/>
          <w:szCs w:val="24"/>
        </w:rPr>
        <w:t xml:space="preserve">1) ежегодный объем финансирования объектов городской инфраструктуры составляет не менее 20% от общего объема местных бюджетов;</w:t>
      </w:r>
    </w:p>
    <w:p>
      <w:pPr>
        <w:spacing w:after="60"/>
        <w:ind w:firstLine="567"/>
        <w:jc w:val="both"/>
      </w:pPr>
      <w:r>
        <w:rPr>
          <w:rFonts w:ascii="Arial" w:cs="Arial" w:eastAsia="Arial" w:hAnsi="Arial"/>
          <w:sz w:val="24"/>
          <w:szCs w:val="24"/>
        </w:rPr>
        <w:t xml:space="preserve">2) к 2028 году не менее 70% дорог с твердым покрытием имеют оценку "хорошо" или "удовлетворительно";</w:t>
      </w:r>
    </w:p>
    <w:p>
      <w:pPr>
        <w:spacing w:after="60"/>
        <w:ind w:firstLine="567"/>
        <w:jc w:val="both"/>
      </w:pPr>
      <w:r>
        <w:rPr>
          <w:rFonts w:ascii="Arial" w:cs="Arial" w:eastAsia="Arial" w:hAnsi="Arial"/>
          <w:sz w:val="24"/>
          <w:szCs w:val="24"/>
        </w:rPr>
        <w:t xml:space="preserve">3) к 2028 году 100% населения имеют доступ к питьевому водоснабжению и не менее 60% доступ к центральной канализации;</w:t>
      </w:r>
    </w:p>
    <w:p>
      <w:pPr>
        <w:spacing w:after="60"/>
        <w:ind w:firstLine="567"/>
        <w:jc w:val="both"/>
      </w:pPr>
      <w:r>
        <w:rPr>
          <w:rFonts w:ascii="Arial" w:cs="Arial" w:eastAsia="Arial" w:hAnsi="Arial"/>
          <w:sz w:val="24"/>
          <w:szCs w:val="24"/>
        </w:rPr>
        <w:t xml:space="preserve">4) к 2028 году парковая зона (парки, скверы) составляет не менее 20% от общей площади населенного пункта;</w:t>
      </w:r>
    </w:p>
    <w:p>
      <w:pPr>
        <w:spacing w:after="60"/>
        <w:ind w:firstLine="567"/>
        <w:jc w:val="both"/>
      </w:pPr>
      <w:r>
        <w:rPr>
          <w:rFonts w:ascii="Arial" w:cs="Arial" w:eastAsia="Arial" w:hAnsi="Arial"/>
          <w:sz w:val="24"/>
          <w:szCs w:val="24"/>
        </w:rPr>
        <w:t xml:space="preserve">5) в каждой опорной точке роста реализована (реализуется) программа ипотечного кредитования.</w:t>
      </w:r>
    </w:p>
    <w:p>
      <w:pPr>
        <w:spacing w:after="200" w:before="200"/>
        <w:jc w:val="center"/>
      </w:pPr>
      <w:r>
        <w:rPr>
          <w:rFonts w:ascii="Arial" w:cs="Arial" w:eastAsia="Arial" w:hAnsi="Arial"/>
          <w:b/>
          <w:bCs/>
          <w:sz w:val="24"/>
          <w:szCs w:val="24"/>
        </w:rPr>
        <w:t xml:space="preserve">Раздел 4. Создание экономически устойчивой системы предоставления базовых услуг населению</w:t>
      </w:r>
    </w:p>
    <w:p>
      <w:pPr>
        <w:spacing w:after="200" w:before="200"/>
        <w:jc w:val="center"/>
      </w:pPr>
      <w:r>
        <w:rPr>
          <w:rFonts w:ascii="Arial" w:cs="Arial" w:eastAsia="Arial" w:hAnsi="Arial"/>
          <w:b/>
          <w:bCs/>
          <w:sz w:val="24"/>
          <w:szCs w:val="24"/>
        </w:rPr>
        <w:t xml:space="preserve">§ 4.1. Анализ системы предоставления услуг</w:t>
      </w:r>
    </w:p>
    <w:p>
      <w:pPr>
        <w:spacing w:after="60"/>
        <w:ind w:firstLine="567"/>
        <w:jc w:val="both"/>
      </w:pPr>
      <w:r>
        <w:rPr>
          <w:rFonts w:ascii="Arial" w:cs="Arial" w:eastAsia="Arial" w:hAnsi="Arial"/>
          <w:sz w:val="24"/>
          <w:szCs w:val="24"/>
        </w:rPr>
        <w:t xml:space="preserve">Процессы урбанизации, рост населения в городах создают потребность в расширении объема и качества предоставления услуг населению.</w:t>
      </w:r>
    </w:p>
    <w:p>
      <w:pPr>
        <w:spacing w:after="60"/>
        <w:ind w:firstLine="567"/>
        <w:jc w:val="both"/>
      </w:pPr>
      <w:r>
        <w:rPr>
          <w:rFonts w:ascii="Arial" w:cs="Arial" w:eastAsia="Arial" w:hAnsi="Arial"/>
          <w:sz w:val="24"/>
          <w:szCs w:val="24"/>
        </w:rPr>
        <w:t xml:space="preserve">В последние годы наблюдаются позитивные изменения, связанные с улучшением инфраструктуры услуг. Реализуются инфраструктурные проекты по реабилитации и строительству систем питьевого водоснабжения и водоотведения. Приобретается специальная техника для вывоза бытовых отходов. Начаты работы по новым подходам к утилизации отходов: сортировочные линии, мусоросжигающие и мусороперерабатывающие технологии, крематоры для утилизации органических отходов.</w:t>
      </w:r>
    </w:p>
    <w:p>
      <w:pPr>
        <w:spacing w:after="60"/>
        <w:ind w:firstLine="567"/>
        <w:jc w:val="both"/>
      </w:pPr>
      <w:r>
        <w:rPr>
          <w:rFonts w:ascii="Arial" w:cs="Arial" w:eastAsia="Arial" w:hAnsi="Arial"/>
          <w:sz w:val="24"/>
          <w:szCs w:val="24"/>
        </w:rPr>
        <w:t xml:space="preserve">Качественное предоставление услуг населению во многом зависит от деятельности поставщика услуг и его взаимодействия с заказчиком в лице органа местного самоуправления. Анализ текущей ситуации в сфере услуг в городах показывает, что органы местного самоуправления, как правило, применяют метод организации услуг посредством создания муниципального предприятия. При этом действующее законодательство позволяет применять и другие методы организации услуг, например, в форме привлечения частного сектора в сферу услуг, создания акционерного общества, создания некоммерческой организации.</w:t>
      </w:r>
    </w:p>
    <w:p>
      <w:pPr>
        <w:spacing w:after="60"/>
        <w:ind w:firstLine="567"/>
        <w:jc w:val="both"/>
      </w:pPr>
      <w:r>
        <w:rPr>
          <w:rFonts w:ascii="Arial" w:cs="Arial" w:eastAsia="Arial" w:hAnsi="Arial"/>
          <w:sz w:val="24"/>
          <w:szCs w:val="24"/>
        </w:rPr>
        <w:t xml:space="preserve">Текущий анализ предоставления услуг позволяет сделать следующие выводы:</w:t>
      </w:r>
    </w:p>
    <w:p>
      <w:pPr>
        <w:spacing w:after="60"/>
        <w:ind w:firstLine="567"/>
        <w:jc w:val="both"/>
      </w:pPr>
      <w:r>
        <w:rPr>
          <w:rFonts w:ascii="Arial" w:cs="Arial" w:eastAsia="Arial" w:hAnsi="Arial"/>
          <w:sz w:val="24"/>
          <w:szCs w:val="24"/>
        </w:rPr>
        <w:t xml:space="preserve">1) ожидаемый в связи с урбанизацией приток населения в города потребует кардинально улучшить систему предоставления услуг в опорных точках роста. Опорные точки роста должны стать примером функционирования эффективной системы предоставления услуг для других муниципалитетов Кыргызской Республики;</w:t>
      </w:r>
    </w:p>
    <w:p>
      <w:pPr>
        <w:spacing w:after="60"/>
        <w:ind w:firstLine="567"/>
        <w:jc w:val="both"/>
      </w:pPr>
      <w:r>
        <w:rPr>
          <w:rFonts w:ascii="Arial" w:cs="Arial" w:eastAsia="Arial" w:hAnsi="Arial"/>
          <w:sz w:val="24"/>
          <w:szCs w:val="24"/>
        </w:rPr>
        <w:t xml:space="preserve">2) невозможно будет исключительно за счет средств местных бюджетов кардинально улучшить инфраструктуру предоставления услуг;</w:t>
      </w:r>
    </w:p>
    <w:p>
      <w:pPr>
        <w:spacing w:after="60"/>
        <w:ind w:firstLine="567"/>
        <w:jc w:val="both"/>
      </w:pPr>
      <w:r>
        <w:rPr>
          <w:rFonts w:ascii="Arial" w:cs="Arial" w:eastAsia="Arial" w:hAnsi="Arial"/>
          <w:sz w:val="24"/>
          <w:szCs w:val="24"/>
        </w:rPr>
        <w:t xml:space="preserve">3) в недостаточной степени в сферу организации услуг вовлекается частный сектор;</w:t>
      </w:r>
    </w:p>
    <w:p>
      <w:pPr>
        <w:spacing w:after="60"/>
        <w:ind w:firstLine="567"/>
        <w:jc w:val="both"/>
      </w:pPr>
      <w:r>
        <w:rPr>
          <w:rFonts w:ascii="Arial" w:cs="Arial" w:eastAsia="Arial" w:hAnsi="Arial"/>
          <w:sz w:val="24"/>
          <w:szCs w:val="24"/>
        </w:rPr>
        <w:t xml:space="preserve">4) отсутствие экономической устойчивости поставщиков услуг вызывает неоправданные дополнительные расходы из местного бюджета;</w:t>
      </w:r>
    </w:p>
    <w:p>
      <w:pPr>
        <w:spacing w:after="60"/>
        <w:ind w:firstLine="567"/>
        <w:jc w:val="both"/>
      </w:pPr>
      <w:r>
        <w:rPr>
          <w:rFonts w:ascii="Arial" w:cs="Arial" w:eastAsia="Arial" w:hAnsi="Arial"/>
          <w:sz w:val="24"/>
          <w:szCs w:val="24"/>
        </w:rPr>
        <w:t xml:space="preserve">5) местное сообщество не в полной мере осознает свою ответственность за исполнение обязательств по вопросам организации услуг.</w:t>
      </w:r>
    </w:p>
    <w:p>
      <w:pPr>
        <w:spacing w:after="60"/>
        <w:ind w:firstLine="567"/>
        <w:jc w:val="both"/>
      </w:pPr>
      <w:r>
        <w:rPr>
          <w:rFonts w:ascii="Arial" w:cs="Arial" w:eastAsia="Arial" w:hAnsi="Arial"/>
          <w:sz w:val="24"/>
          <w:szCs w:val="24"/>
        </w:rPr>
        <w:t xml:space="preserve">Помимо инфраструктурных вопросов органы местного самоуправления в опорных точках роста должны сформировать эффективную систему организации услуг, которая должна отвечать следующим критериям:</w:t>
      </w:r>
    </w:p>
    <w:p>
      <w:pPr>
        <w:spacing w:after="60"/>
        <w:ind w:firstLine="567"/>
        <w:jc w:val="both"/>
      </w:pPr>
      <w:r>
        <w:rPr>
          <w:rFonts w:ascii="Arial" w:cs="Arial" w:eastAsia="Arial" w:hAnsi="Arial"/>
          <w:sz w:val="24"/>
          <w:szCs w:val="24"/>
        </w:rPr>
        <w:t xml:space="preserve">1) экономическая устойчивость поставщика услуг;</w:t>
      </w:r>
    </w:p>
    <w:p>
      <w:pPr>
        <w:spacing w:after="60"/>
        <w:ind w:firstLine="567"/>
        <w:jc w:val="both"/>
      </w:pPr>
      <w:r>
        <w:rPr>
          <w:rFonts w:ascii="Arial" w:cs="Arial" w:eastAsia="Arial" w:hAnsi="Arial"/>
          <w:sz w:val="24"/>
          <w:szCs w:val="24"/>
        </w:rPr>
        <w:t xml:space="preserve">2) качество услуг, соответствующее стандартам;</w:t>
      </w:r>
    </w:p>
    <w:p>
      <w:pPr>
        <w:spacing w:after="60"/>
        <w:ind w:firstLine="567"/>
        <w:jc w:val="both"/>
      </w:pPr>
      <w:r>
        <w:rPr>
          <w:rFonts w:ascii="Arial" w:cs="Arial" w:eastAsia="Arial" w:hAnsi="Arial"/>
          <w:sz w:val="24"/>
          <w:szCs w:val="24"/>
        </w:rPr>
        <w:t xml:space="preserve">3) исключение негативного воздействия на окружающую среду.</w:t>
      </w:r>
    </w:p>
    <w:p>
      <w:pPr>
        <w:spacing w:after="200" w:before="200"/>
        <w:jc w:val="center"/>
      </w:pPr>
      <w:r>
        <w:rPr>
          <w:rFonts w:ascii="Arial" w:cs="Arial" w:eastAsia="Arial" w:hAnsi="Arial"/>
          <w:b/>
          <w:bCs/>
          <w:sz w:val="24"/>
          <w:szCs w:val="24"/>
        </w:rPr>
        <w:t xml:space="preserve">§ 4.2. Задачи по созданию экономически устойчивой системы предоставления базовых услуг населению</w:t>
      </w:r>
    </w:p>
    <w:p>
      <w:pPr>
        <w:spacing w:after="60" w:before="200"/>
        <w:ind w:firstLine="567"/>
        <w:jc w:val="left"/>
      </w:pPr>
      <w:r>
        <w:rPr>
          <w:rFonts w:ascii="Arial" w:cs="Arial" w:eastAsia="Arial" w:hAnsi="Arial"/>
          <w:b/>
          <w:bCs/>
          <w:sz w:val="24"/>
          <w:szCs w:val="24"/>
        </w:rPr>
        <w:t xml:space="preserve">Задача 1. Совершенствование системы управления услугами</w:t>
      </w:r>
    </w:p>
    <w:p>
      <w:pPr>
        <w:spacing w:after="60"/>
        <w:ind w:firstLine="567"/>
        <w:jc w:val="both"/>
      </w:pPr>
      <w:r>
        <w:rPr>
          <w:rFonts w:ascii="Arial" w:cs="Arial" w:eastAsia="Arial" w:hAnsi="Arial"/>
          <w:sz w:val="24"/>
          <w:szCs w:val="24"/>
        </w:rPr>
        <w:t xml:space="preserve">Роль государственных органов и органов местного самоуправления в организации услуг на территории опорных точек роста заключается в создании благоприятных условий для поставщиков услуг. При этом поставщики услуг могут иметь различные организационно-правовые формы такие как государственное/муниципальное предприятие, учреждение, акционерное общество, некоммерческая организация, другие формы юридического лица.</w:t>
      </w:r>
    </w:p>
    <w:p>
      <w:pPr>
        <w:spacing w:after="60"/>
        <w:ind w:firstLine="567"/>
        <w:jc w:val="both"/>
      </w:pPr>
      <w:r>
        <w:rPr>
          <w:rFonts w:ascii="Arial" w:cs="Arial" w:eastAsia="Arial" w:hAnsi="Arial"/>
          <w:sz w:val="24"/>
          <w:szCs w:val="24"/>
        </w:rPr>
        <w:t xml:space="preserve">Создание благоприятных условий включает следующие действия со стороны местных органов власти:</w:t>
      </w:r>
    </w:p>
    <w:p>
      <w:pPr>
        <w:spacing w:after="60"/>
        <w:ind w:firstLine="567"/>
        <w:jc w:val="both"/>
      </w:pPr>
      <w:r>
        <w:rPr>
          <w:rFonts w:ascii="Arial" w:cs="Arial" w:eastAsia="Arial" w:hAnsi="Arial"/>
          <w:sz w:val="24"/>
          <w:szCs w:val="24"/>
        </w:rPr>
        <w:t xml:space="preserve">1) расчет стоимости услуг на основе выполнения требований по ценообразованию и утверждение стоимости услуг (тарифа) в соответствии с установленным порядком;</w:t>
      </w:r>
    </w:p>
    <w:p>
      <w:pPr>
        <w:spacing w:after="60"/>
        <w:ind w:firstLine="567"/>
        <w:jc w:val="both"/>
      </w:pPr>
      <w:r>
        <w:rPr>
          <w:rFonts w:ascii="Arial" w:cs="Arial" w:eastAsia="Arial" w:hAnsi="Arial"/>
          <w:sz w:val="24"/>
          <w:szCs w:val="24"/>
        </w:rPr>
        <w:t xml:space="preserve">2) при необходимости обеспечение субсидирования стоимости услуг для отдельных категорий граждан;</w:t>
      </w:r>
    </w:p>
    <w:p>
      <w:pPr>
        <w:spacing w:after="60"/>
        <w:ind w:firstLine="567"/>
        <w:jc w:val="both"/>
      </w:pPr>
      <w:r>
        <w:rPr>
          <w:rFonts w:ascii="Arial" w:cs="Arial" w:eastAsia="Arial" w:hAnsi="Arial"/>
          <w:sz w:val="24"/>
          <w:szCs w:val="24"/>
        </w:rPr>
        <w:t xml:space="preserve">3) недопущение необоснованного занижения стоимости услуг, которое приведет к убыткам поставщика услуг;</w:t>
      </w:r>
    </w:p>
    <w:p>
      <w:pPr>
        <w:spacing w:after="60"/>
        <w:ind w:firstLine="567"/>
        <w:jc w:val="both"/>
      </w:pPr>
      <w:r>
        <w:rPr>
          <w:rFonts w:ascii="Arial" w:cs="Arial" w:eastAsia="Arial" w:hAnsi="Arial"/>
          <w:sz w:val="24"/>
          <w:szCs w:val="24"/>
        </w:rPr>
        <w:t xml:space="preserve">4) обеспечение максимального сбора платы за услуги от получателей услуг. В максимальной степени использование полномочий местных органов власти по взысканию платы за услуги с населения. Недостаточный сбор с населения платы за услуги приведет к необоснованным дополнительным издержкам местного бюджета;</w:t>
      </w:r>
    </w:p>
    <w:p>
      <w:pPr>
        <w:spacing w:after="60"/>
        <w:ind w:firstLine="567"/>
        <w:jc w:val="both"/>
      </w:pPr>
      <w:r>
        <w:rPr>
          <w:rFonts w:ascii="Arial" w:cs="Arial" w:eastAsia="Arial" w:hAnsi="Arial"/>
          <w:sz w:val="24"/>
          <w:szCs w:val="24"/>
        </w:rPr>
        <w:t xml:space="preserve">5) обеспечение поставщика услуг необходимой техникой и оборудованием для поставки услуг за счет средств местного бюджета, других внешних источников.</w:t>
      </w:r>
    </w:p>
    <w:p>
      <w:pPr>
        <w:spacing w:after="60"/>
        <w:ind w:firstLine="567"/>
        <w:jc w:val="both"/>
      </w:pPr>
      <w:r>
        <w:rPr>
          <w:rFonts w:ascii="Arial" w:cs="Arial" w:eastAsia="Arial" w:hAnsi="Arial"/>
          <w:sz w:val="24"/>
          <w:szCs w:val="24"/>
        </w:rPr>
        <w:t xml:space="preserve">Организация поставки услуг, в том числе выбор поставщика услуг, должен основываться на данных (выводах) предварительного технико-экономического обоснования. Деятельность муниципальных предприятий опорных точек роста должна быть нацелена на предоставление качественных услуг населению и получение прибыли.</w:t>
      </w:r>
    </w:p>
    <w:p>
      <w:pPr>
        <w:spacing w:after="60"/>
        <w:ind w:firstLine="567"/>
        <w:jc w:val="both"/>
      </w:pPr>
      <w:r>
        <w:rPr>
          <w:rFonts w:ascii="Arial" w:cs="Arial" w:eastAsia="Arial" w:hAnsi="Arial"/>
          <w:sz w:val="24"/>
          <w:szCs w:val="24"/>
        </w:rPr>
        <w:t xml:space="preserve">Государственные органы будут на постоянной основе проводить мониторинг соблюдения исполнительными органами местного самоуправления вышеназванных требований и оценивать эффективность деятельности муниципальных предприятий.</w:t>
      </w:r>
    </w:p>
    <w:p>
      <w:pPr>
        <w:spacing w:after="60" w:before="200"/>
        <w:ind w:firstLine="567"/>
        <w:jc w:val="left"/>
      </w:pPr>
      <w:r>
        <w:rPr>
          <w:rFonts w:ascii="Arial" w:cs="Arial" w:eastAsia="Arial" w:hAnsi="Arial"/>
          <w:b/>
          <w:bCs/>
          <w:sz w:val="24"/>
          <w:szCs w:val="24"/>
        </w:rPr>
        <w:t xml:space="preserve">Задача 2. Вовлечение частного сектора в предоставление услуг</w:t>
      </w:r>
    </w:p>
    <w:p>
      <w:pPr>
        <w:spacing w:after="60"/>
        <w:ind w:firstLine="567"/>
        <w:jc w:val="both"/>
      </w:pPr>
      <w:r>
        <w:rPr>
          <w:rFonts w:ascii="Arial" w:cs="Arial" w:eastAsia="Arial" w:hAnsi="Arial"/>
          <w:sz w:val="24"/>
          <w:szCs w:val="24"/>
        </w:rPr>
        <w:t xml:space="preserve">Опорные точки роста должны стать площадкой, на которой будут демонстрироваться передовые, инновационные методы организации услуг, в том числе в рамках государственно-частного партнерства. Вовлечение частного сектора в решении вопросов местного значения должно осуществляться на основе обоснованных, прозрачных, понятных для бизнеса правил. Для этого каждая опорная точка роста должна иметь утвержденный местным кенешем порядок подготовки и проведения конкурса по отбору поставщика услуг в рамках государственно-частного партнерства.</w:t>
      </w:r>
    </w:p>
    <w:p>
      <w:pPr>
        <w:spacing w:after="60"/>
        <w:ind w:firstLine="567"/>
        <w:jc w:val="both"/>
      </w:pPr>
      <w:r>
        <w:rPr>
          <w:rFonts w:ascii="Arial" w:cs="Arial" w:eastAsia="Arial" w:hAnsi="Arial"/>
          <w:sz w:val="24"/>
          <w:szCs w:val="24"/>
        </w:rPr>
        <w:t xml:space="preserve">Взаимоотношения между органом местного самоуправления и частным поставщиком услуг будут основываться на выполнении муниципального заказа по обеспечению освещения общественных мест, благоустройству территории, санитарной очистке, содержанию парков, скверов.</w:t>
      </w:r>
    </w:p>
    <w:p>
      <w:pPr>
        <w:spacing w:after="60"/>
        <w:ind w:firstLine="567"/>
        <w:jc w:val="both"/>
      </w:pPr>
      <w:r>
        <w:rPr>
          <w:rFonts w:ascii="Arial" w:cs="Arial" w:eastAsia="Arial" w:hAnsi="Arial"/>
          <w:sz w:val="24"/>
          <w:szCs w:val="24"/>
        </w:rPr>
        <w:t xml:space="preserve">Рекомендуется данный метод распространить на сферу коммунальных услуг, а также на сферы образования, здравоохранения, культуры, спорта, социальной защиты населения.</w:t>
      </w:r>
    </w:p>
    <w:p>
      <w:pPr>
        <w:spacing w:after="60"/>
        <w:ind w:firstLine="567"/>
        <w:jc w:val="both"/>
      </w:pPr>
      <w:r>
        <w:rPr>
          <w:rFonts w:ascii="Arial" w:cs="Arial" w:eastAsia="Arial" w:hAnsi="Arial"/>
          <w:sz w:val="24"/>
          <w:szCs w:val="24"/>
        </w:rPr>
        <w:t xml:space="preserve">В рамках развития социальных услуг в опорных точках роста на системной основе будет внедряться практика применения социального заказа. За счет данного метода в реализацию социальных программ будет обеспечено вовлечение некоммерческого сектора через общественно значимые проекты, а также коммерческого сектора через предоставление социальных талонов отдельным категориям граждан.</w:t>
      </w:r>
    </w:p>
    <w:p>
      <w:pPr>
        <w:spacing w:after="60"/>
        <w:ind w:firstLine="567"/>
        <w:jc w:val="both"/>
      </w:pPr>
      <w:r>
        <w:rPr>
          <w:rFonts w:ascii="Arial" w:cs="Arial" w:eastAsia="Arial" w:hAnsi="Arial"/>
          <w:sz w:val="24"/>
          <w:szCs w:val="24"/>
        </w:rPr>
        <w:t xml:space="preserve">На принципах государственно-частного партнерства необходимо развивать транспортное сообщение между опорными точками роста и соседними регионами. Жители близлежащих районов должны получить доступ к услугам на территории опорной точки роста.</w:t>
      </w:r>
    </w:p>
    <w:p>
      <w:pPr>
        <w:spacing w:after="200" w:before="200"/>
        <w:jc w:val="center"/>
      </w:pPr>
      <w:r>
        <w:rPr>
          <w:rFonts w:ascii="Arial" w:cs="Arial" w:eastAsia="Arial" w:hAnsi="Arial"/>
          <w:b/>
          <w:bCs/>
          <w:sz w:val="24"/>
          <w:szCs w:val="24"/>
        </w:rPr>
        <w:t xml:space="preserve">§ 4.3. Ожидаемые результаты</w:t>
      </w:r>
    </w:p>
    <w:p>
      <w:pPr>
        <w:spacing w:after="60"/>
        <w:ind w:firstLine="567"/>
        <w:jc w:val="both"/>
      </w:pPr>
      <w:r>
        <w:rPr>
          <w:rFonts w:ascii="Arial" w:cs="Arial" w:eastAsia="Arial" w:hAnsi="Arial"/>
          <w:sz w:val="24"/>
          <w:szCs w:val="24"/>
        </w:rPr>
        <w:t xml:space="preserve">По итогам реализации задач, направленных на создание экономической устойчивой системы представления базовых услуг населению, ожидается достижение следующих результатов:</w:t>
      </w:r>
    </w:p>
    <w:p>
      <w:pPr>
        <w:spacing w:after="60"/>
        <w:ind w:firstLine="567"/>
        <w:jc w:val="both"/>
      </w:pPr>
      <w:r>
        <w:rPr>
          <w:rFonts w:ascii="Arial" w:cs="Arial" w:eastAsia="Arial" w:hAnsi="Arial"/>
          <w:sz w:val="24"/>
          <w:szCs w:val="24"/>
        </w:rPr>
        <w:t xml:space="preserve">1) муниципальные предприятия работают на безубыточной основе;</w:t>
      </w:r>
    </w:p>
    <w:p>
      <w:pPr>
        <w:spacing w:after="60"/>
        <w:ind w:firstLine="567"/>
        <w:jc w:val="both"/>
      </w:pPr>
      <w:r>
        <w:rPr>
          <w:rFonts w:ascii="Arial" w:cs="Arial" w:eastAsia="Arial" w:hAnsi="Arial"/>
          <w:sz w:val="24"/>
          <w:szCs w:val="24"/>
        </w:rPr>
        <w:t xml:space="preserve">2) собираемость оплаты за коммунальные услуги не менее 90%;</w:t>
      </w:r>
    </w:p>
    <w:p>
      <w:pPr>
        <w:spacing w:after="60"/>
        <w:ind w:firstLine="567"/>
        <w:jc w:val="both"/>
      </w:pPr>
      <w:r>
        <w:rPr>
          <w:rFonts w:ascii="Arial" w:cs="Arial" w:eastAsia="Arial" w:hAnsi="Arial"/>
          <w:sz w:val="24"/>
          <w:szCs w:val="24"/>
        </w:rPr>
        <w:t xml:space="preserve">3) ежегодно в каждой опорной точке роста запуск не менее 3 проектов государственно-частного партнерства в сфере услуг;</w:t>
      </w:r>
    </w:p>
    <w:p>
      <w:pPr>
        <w:spacing w:after="60"/>
        <w:ind w:firstLine="567"/>
        <w:jc w:val="both"/>
      </w:pPr>
      <w:r>
        <w:rPr>
          <w:rFonts w:ascii="Arial" w:cs="Arial" w:eastAsia="Arial" w:hAnsi="Arial"/>
          <w:sz w:val="24"/>
          <w:szCs w:val="24"/>
        </w:rPr>
        <w:t xml:space="preserve">4) ежегодно в каждой опорной точке роста выделяются средства на реализацию социального заказа.</w:t>
      </w:r>
    </w:p>
    <w:p>
      <w:pPr>
        <w:spacing w:after="200" w:before="200"/>
        <w:jc w:val="center"/>
      </w:pPr>
      <w:r>
        <w:rPr>
          <w:rFonts w:ascii="Arial" w:cs="Arial" w:eastAsia="Arial" w:hAnsi="Arial"/>
          <w:b/>
          <w:bCs/>
          <w:sz w:val="24"/>
          <w:szCs w:val="24"/>
        </w:rPr>
        <w:t xml:space="preserve">Раздел 5. Привлечение в опорные точки развития передовых учебных заведений</w:t>
      </w:r>
    </w:p>
    <w:p>
      <w:pPr>
        <w:spacing w:after="200" w:before="200"/>
        <w:jc w:val="center"/>
      </w:pPr>
      <w:r>
        <w:rPr>
          <w:rFonts w:ascii="Arial" w:cs="Arial" w:eastAsia="Arial" w:hAnsi="Arial"/>
          <w:b/>
          <w:bCs/>
          <w:sz w:val="24"/>
          <w:szCs w:val="24"/>
        </w:rPr>
        <w:t xml:space="preserve">§ 5.1. Анализ состояния высшего и среднего образования на уровне регионов</w:t>
      </w:r>
    </w:p>
    <w:p>
      <w:pPr>
        <w:spacing w:after="60"/>
        <w:ind w:firstLine="567"/>
        <w:jc w:val="both"/>
      </w:pPr>
      <w:r>
        <w:rPr>
          <w:rFonts w:ascii="Arial" w:cs="Arial" w:eastAsia="Arial" w:hAnsi="Arial"/>
          <w:sz w:val="24"/>
          <w:szCs w:val="24"/>
        </w:rPr>
        <w:t xml:space="preserve">Значительную долю от общего притока населения в города составляет молодежь. Опорные точки роста должны стать местом, где аккумулируются прогрессивные инициативы молодежи, направленные на развитие населенного пункта. И в этом важная роль отводится студентам высших учебных заведений и учащимся средних учебных заведений.</w:t>
      </w:r>
    </w:p>
    <w:p>
      <w:pPr>
        <w:spacing w:after="60"/>
        <w:ind w:firstLine="567"/>
        <w:jc w:val="both"/>
      </w:pPr>
      <w:r>
        <w:rPr>
          <w:rFonts w:ascii="Arial" w:cs="Arial" w:eastAsia="Arial" w:hAnsi="Arial"/>
          <w:sz w:val="24"/>
          <w:szCs w:val="24"/>
        </w:rPr>
        <w:t xml:space="preserve">В настоящее время высшие и средние учебные заведения действуют во всех областных центрах в Кыргызской Республике.</w:t>
      </w:r>
    </w:p>
    <w:p>
      <w:pPr>
        <w:spacing w:after="60"/>
        <w:ind w:firstLine="567"/>
        <w:jc w:val="both"/>
      </w:pPr>
      <w:r>
        <w:rPr>
          <w:rFonts w:ascii="Arial" w:cs="Arial" w:eastAsia="Arial" w:hAnsi="Arial"/>
          <w:sz w:val="24"/>
          <w:szCs w:val="24"/>
        </w:rPr>
        <w:t xml:space="preserve">Наиболее "студенческим" городом можно считать город Баткен, где на одного студента приходится 18 жителей города. Связано это, прежде всего, с небольшой численностью населения города Баткен по сравнению с числом студентов, учащихся.</w:t>
      </w:r>
    </w:p>
    <w:p>
      <w:pPr>
        <w:spacing w:after="60"/>
        <w:ind w:firstLine="567"/>
        <w:jc w:val="both"/>
      </w:pPr>
      <w:r>
        <w:rPr>
          <w:rFonts w:ascii="Arial" w:cs="Arial" w:eastAsia="Arial" w:hAnsi="Arial"/>
          <w:sz w:val="24"/>
          <w:szCs w:val="24"/>
        </w:rPr>
        <w:t xml:space="preserve">Разрыв по плотности студентов между областными центрами не является критичным. В то же время в таких городах как Талас, Нарын, Каракол, в которых на одного студента приходится от 38 до 52 жителей города, есть необходимость расширить количество учебных заведений (см. диаграмму 2).</w:t>
      </w:r>
    </w:p>
    <w:p>
      <w:pPr>
        <w:spacing w:after="60" w:before="200"/>
        <w:ind w:firstLine="567"/>
        <w:jc w:val="left"/>
      </w:pPr>
      <w:r>
        <w:rPr>
          <w:rFonts w:ascii="Arial" w:cs="Arial" w:eastAsia="Arial" w:hAnsi="Arial"/>
          <w:b/>
          <w:bCs/>
          <w:sz w:val="24"/>
          <w:szCs w:val="24"/>
        </w:rPr>
        <w:t xml:space="preserve">Рисунок. Диаграмма 2. Число жителей городов на 1 студента или учащегося среднего учебного заведения</w:t>
      </w:r>
    </w:p>
    <w:p>
      <w:pPr>
        <w:spacing w:after="60"/>
        <w:ind w:firstLine="567"/>
        <w:jc w:val="both"/>
      </w:pPr>
      <w:r>
        <w:rPr>
          <w:rFonts w:ascii="Arial" w:cs="Arial" w:eastAsia="Arial" w:hAnsi="Arial"/>
          <w:sz w:val="24"/>
          <w:szCs w:val="24"/>
        </w:rPr>
        <w:t xml:space="preserve">Для соответствия статусу опорной точки развития в высших и средних учебных заведениях этих городов необходимо обеспечить хорошее качество обучения, сильный преподавательский состав, высокую академическую успеваемость.</w:t>
      </w:r>
    </w:p>
    <w:p>
      <w:pPr>
        <w:spacing w:after="60"/>
        <w:ind w:firstLine="567"/>
        <w:jc w:val="both"/>
      </w:pPr>
      <w:r>
        <w:rPr>
          <w:rFonts w:ascii="Arial" w:cs="Arial" w:eastAsia="Arial" w:hAnsi="Arial"/>
          <w:sz w:val="24"/>
          <w:szCs w:val="24"/>
        </w:rPr>
        <w:t xml:space="preserve">В Национальный рейтинг высших учебных заведений Кыргызской Республики, утвержденный Министерством образования и науки Кыргызской Республики, включены 27 учебных заведений. Из них в числе 10 лучших вузов 9 учебных заведений находятся в городе Бишкек. Из региональных вузов в рейтинге представлен только Ошский государственный университет.</w:t>
      </w:r>
    </w:p>
    <w:p>
      <w:pPr>
        <w:spacing w:after="120" w:before="200"/>
        <w:ind w:firstLine="567"/>
        <w:jc w:val="left"/>
      </w:pPr>
      <w:r>
        <w:rPr>
          <w:rFonts w:ascii="Arial" w:cs="Arial" w:eastAsia="Arial" w:hAnsi="Arial"/>
          <w:b/>
          <w:bCs/>
          <w:sz w:val="24"/>
          <w:szCs w:val="24"/>
        </w:rPr>
        <w:t xml:space="preserve">Таблица 3. Первые десять вузов Кыргызской Республики из Национального рейтинга высших учебных заведений Кыргызской Республики</w:t>
      </w:r>
    </w:p>
    <w:p>
      <w:pPr>
        <w:spacing w:after="120" w:before="200"/>
        <w:ind w:firstLine="567"/>
        <w:jc w:val="left"/>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908"/>
        <w:gridCol w:w="2270"/>
      </w:tblGrid>
      <w:tr>
        <w:tc>
          <w:tcPr>
            <w:tcW w:type="dxa" w:w="790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вуза</w:t>
            </w:r>
          </w:p>
        </w:tc>
        <w:tc>
          <w:tcPr>
            <w:tcW w:type="dxa" w:w="227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Место в рейтинге</w:t>
            </w:r>
          </w:p>
        </w:tc>
      </w:tr>
      <w:tr>
        <w:tc>
          <w:tcPr>
            <w:tcW w:type="dxa" w:w="79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Кыргызская государственная медицинская академия им.И.Ахунбаева</w:t>
            </w:r>
          </w:p>
        </w:tc>
        <w:tc>
          <w:tcPr>
            <w:tcW w:type="dxa" w:w="2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79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Международный университет Ала-Тоо</w:t>
            </w:r>
          </w:p>
        </w:tc>
        <w:tc>
          <w:tcPr>
            <w:tcW w:type="dxa" w:w="2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r>
      <w:tr>
        <w:tc>
          <w:tcPr>
            <w:tcW w:type="dxa" w:w="79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Кыргызский государственный университет им.И.Раззакова</w:t>
            </w:r>
          </w:p>
        </w:tc>
        <w:tc>
          <w:tcPr>
            <w:tcW w:type="dxa" w:w="2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79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Ошский государственный университет</w:t>
            </w:r>
          </w:p>
        </w:tc>
        <w:tc>
          <w:tcPr>
            <w:tcW w:type="dxa" w:w="2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r>
      <w:tr>
        <w:tc>
          <w:tcPr>
            <w:tcW w:type="dxa" w:w="79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Кыргызско-Российский славянский университет им.Б.Ельцина</w:t>
            </w:r>
          </w:p>
        </w:tc>
        <w:tc>
          <w:tcPr>
            <w:tcW w:type="dxa" w:w="2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79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Кыргызский национальный университет им. Жусупа Баласагына</w:t>
            </w:r>
          </w:p>
        </w:tc>
        <w:tc>
          <w:tcPr>
            <w:tcW w:type="dxa" w:w="2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r>
      <w:tr>
        <w:tc>
          <w:tcPr>
            <w:tcW w:type="dxa" w:w="79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Кыргызский национальный аграрный университет им.К.Скрябина</w:t>
            </w:r>
          </w:p>
        </w:tc>
        <w:tc>
          <w:tcPr>
            <w:tcW w:type="dxa" w:w="2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r>
      <w:tr>
        <w:tc>
          <w:tcPr>
            <w:tcW w:type="dxa" w:w="79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Кыргызский государственный университет им.Арабаева</w:t>
            </w:r>
          </w:p>
        </w:tc>
        <w:tc>
          <w:tcPr>
            <w:tcW w:type="dxa" w:w="2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r>
      <w:tr>
        <w:tc>
          <w:tcPr>
            <w:tcW w:type="dxa" w:w="79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Кыргызский экономический университет им.М.Рыскулбекова</w:t>
            </w:r>
          </w:p>
        </w:tc>
        <w:tc>
          <w:tcPr>
            <w:tcW w:type="dxa" w:w="2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r>
      <w:tr>
        <w:tc>
          <w:tcPr>
            <w:tcW w:type="dxa" w:w="79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Бишкекский государственный университет им.К.Карасаева</w:t>
            </w:r>
          </w:p>
        </w:tc>
        <w:tc>
          <w:tcPr>
            <w:tcW w:type="dxa" w:w="2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bl>
    <w:p>
      <w:pPr>
        <w:spacing w:after="60" w:before="120"/>
        <w:ind w:firstLine="567"/>
        <w:jc w:val="both"/>
      </w:pPr>
      <w:r>
        <w:rPr>
          <w:rFonts w:ascii="Arial" w:cs="Arial" w:eastAsia="Arial" w:hAnsi="Arial"/>
          <w:sz w:val="24"/>
          <w:szCs w:val="24"/>
        </w:rPr>
        <w:t xml:space="preserve"/>
      </w:r>
    </w:p>
    <w:p>
      <w:pPr>
        <w:spacing w:after="60" w:before="120"/>
        <w:ind w:firstLine="567"/>
        <w:jc w:val="both"/>
      </w:pPr>
      <w:r>
        <w:rPr>
          <w:rFonts w:ascii="Arial" w:cs="Arial" w:eastAsia="Arial" w:hAnsi="Arial"/>
          <w:sz w:val="24"/>
          <w:szCs w:val="24"/>
        </w:rPr>
        <w:t xml:space="preserve">Практически повсеместно в Кыргызской Республике, в том числе в регионах, остро ощущается нехватка квалифицированных кадров в разных отраслях промышленности. Количество вакантных рабочих мест, заявленных в службы занятости, на 1 сентября 2024 года составило 16731 единицу, в их числе преобладал спрос на рабочие специальности.</w:t>
      </w:r>
    </w:p>
    <w:p>
      <w:pPr>
        <w:spacing w:after="60"/>
        <w:ind w:firstLine="567"/>
        <w:jc w:val="both"/>
      </w:pPr>
      <w:r>
        <w:rPr>
          <w:rFonts w:ascii="Arial" w:cs="Arial" w:eastAsia="Arial" w:hAnsi="Arial"/>
          <w:sz w:val="24"/>
          <w:szCs w:val="24"/>
        </w:rPr>
        <w:t xml:space="preserve">Возможность в опорной точке роста подготовки квалифицированных кадров является одним из важных оснований для привлечения инвестиций.</w:t>
      </w:r>
    </w:p>
    <w:p>
      <w:pPr>
        <w:spacing w:after="60"/>
        <w:ind w:firstLine="567"/>
        <w:jc w:val="both"/>
      </w:pPr>
      <w:r>
        <w:rPr>
          <w:rFonts w:ascii="Arial" w:cs="Arial" w:eastAsia="Arial" w:hAnsi="Arial"/>
          <w:sz w:val="24"/>
          <w:szCs w:val="24"/>
        </w:rPr>
        <w:t xml:space="preserve">Текущий анализ состояния высшего и среднего образования на уровне регионов позволяет сделать следующие выводы:</w:t>
      </w:r>
    </w:p>
    <w:p>
      <w:pPr>
        <w:spacing w:after="60"/>
        <w:ind w:firstLine="567"/>
        <w:jc w:val="both"/>
      </w:pPr>
      <w:r>
        <w:rPr>
          <w:rFonts w:ascii="Arial" w:cs="Arial" w:eastAsia="Arial" w:hAnsi="Arial"/>
          <w:sz w:val="24"/>
          <w:szCs w:val="24"/>
        </w:rPr>
        <w:t xml:space="preserve">1) в областных центрах Кыргызской Республики создан базовый потенциал для получения молодежью высшего и среднего специального образования;</w:t>
      </w:r>
    </w:p>
    <w:p>
      <w:pPr>
        <w:spacing w:after="60"/>
        <w:ind w:firstLine="567"/>
        <w:jc w:val="both"/>
      </w:pPr>
      <w:r>
        <w:rPr>
          <w:rFonts w:ascii="Arial" w:cs="Arial" w:eastAsia="Arial" w:hAnsi="Arial"/>
          <w:sz w:val="24"/>
          <w:szCs w:val="24"/>
        </w:rPr>
        <w:t xml:space="preserve">2) по качеству обучения городами с сильными вузами можно считать только города республиканского значения Бишкек и Ош;</w:t>
      </w:r>
    </w:p>
    <w:p>
      <w:pPr>
        <w:spacing w:after="60"/>
        <w:ind w:firstLine="567"/>
        <w:jc w:val="both"/>
      </w:pPr>
      <w:r>
        <w:rPr>
          <w:rFonts w:ascii="Arial" w:cs="Arial" w:eastAsia="Arial" w:hAnsi="Arial"/>
          <w:sz w:val="24"/>
          <w:szCs w:val="24"/>
        </w:rPr>
        <w:t xml:space="preserve">3) наблюдается слабая представленность среди учебных заведений известных вузов стран СНГ и дальнего зарубежья;</w:t>
      </w:r>
    </w:p>
    <w:p>
      <w:pPr>
        <w:spacing w:after="60"/>
        <w:ind w:firstLine="567"/>
        <w:jc w:val="both"/>
      </w:pPr>
      <w:r>
        <w:rPr>
          <w:rFonts w:ascii="Arial" w:cs="Arial" w:eastAsia="Arial" w:hAnsi="Arial"/>
          <w:sz w:val="24"/>
          <w:szCs w:val="24"/>
        </w:rPr>
        <w:t xml:space="preserve">4) наблюдается недостаток квалифицированной рабочей силы.</w:t>
      </w:r>
    </w:p>
    <w:p>
      <w:pPr>
        <w:spacing w:after="200" w:before="200"/>
        <w:jc w:val="center"/>
      </w:pPr>
      <w:r>
        <w:rPr>
          <w:rFonts w:ascii="Arial" w:cs="Arial" w:eastAsia="Arial" w:hAnsi="Arial"/>
          <w:b/>
          <w:bCs/>
          <w:sz w:val="24"/>
          <w:szCs w:val="24"/>
        </w:rPr>
        <w:t xml:space="preserve">§ 5.2. Задачи по привлечению в опорные точки развития передовых учебных заведений</w:t>
      </w:r>
    </w:p>
    <w:p>
      <w:pPr>
        <w:spacing w:after="60" w:before="200"/>
        <w:ind w:firstLine="567"/>
        <w:jc w:val="left"/>
      </w:pPr>
      <w:r>
        <w:rPr>
          <w:rFonts w:ascii="Arial" w:cs="Arial" w:eastAsia="Arial" w:hAnsi="Arial"/>
          <w:b/>
          <w:bCs/>
          <w:sz w:val="24"/>
          <w:szCs w:val="24"/>
        </w:rPr>
        <w:t xml:space="preserve">Задача 1. Привлечение в опорных точках роста передовых высших учебных заведений</w:t>
      </w:r>
    </w:p>
    <w:p>
      <w:pPr>
        <w:spacing w:after="60"/>
        <w:ind w:firstLine="567"/>
        <w:jc w:val="both"/>
      </w:pPr>
      <w:r>
        <w:rPr>
          <w:rFonts w:ascii="Arial" w:cs="Arial" w:eastAsia="Arial" w:hAnsi="Arial"/>
          <w:sz w:val="24"/>
          <w:szCs w:val="24"/>
        </w:rPr>
        <w:t xml:space="preserve">Важным преимуществом опорной точки роста является возможность предоставлять молодежи качественное высшее образование. Молодежь, которая будет приезжать в опорные города из сельской местности, должна успешно интегрироваться в студенческую среду и стать частью процессов развития опорной точки роста. Внимание будет акцентировано на обеспечении на территории опорной точки роста филиалов известных учебных заведений Кыргызской Республики и других стран, которые будут отвечать следующим критериям:</w:t>
      </w:r>
    </w:p>
    <w:p>
      <w:pPr>
        <w:spacing w:after="60"/>
        <w:ind w:firstLine="567"/>
        <w:jc w:val="both"/>
      </w:pPr>
      <w:r>
        <w:rPr>
          <w:rFonts w:ascii="Arial" w:cs="Arial" w:eastAsia="Arial" w:hAnsi="Arial"/>
          <w:sz w:val="24"/>
          <w:szCs w:val="24"/>
        </w:rPr>
        <w:t xml:space="preserve">1) высокие рейтинги среди аналогичных учебных заведений Кыргызской Республики и других государств;</w:t>
      </w:r>
    </w:p>
    <w:p>
      <w:pPr>
        <w:spacing w:after="60"/>
        <w:ind w:firstLine="567"/>
        <w:jc w:val="both"/>
      </w:pPr>
      <w:r>
        <w:rPr>
          <w:rFonts w:ascii="Arial" w:cs="Arial" w:eastAsia="Arial" w:hAnsi="Arial"/>
          <w:sz w:val="24"/>
          <w:szCs w:val="24"/>
        </w:rPr>
        <w:t xml:space="preserve">2) наличие финансовой, материальной базы для размещения филиала на территории опорной точки роста;</w:t>
      </w:r>
    </w:p>
    <w:p>
      <w:pPr>
        <w:spacing w:after="60"/>
        <w:ind w:firstLine="567"/>
        <w:jc w:val="both"/>
      </w:pPr>
      <w:r>
        <w:rPr>
          <w:rFonts w:ascii="Arial" w:cs="Arial" w:eastAsia="Arial" w:hAnsi="Arial"/>
          <w:sz w:val="24"/>
          <w:szCs w:val="24"/>
        </w:rPr>
        <w:t xml:space="preserve">3) наличие научного потенциала, который позволил бы вовлекать инициативную молодежь в проведение исследований, растить будущих ученых.</w:t>
      </w:r>
    </w:p>
    <w:p>
      <w:pPr>
        <w:spacing w:after="60"/>
        <w:ind w:firstLine="567"/>
        <w:jc w:val="both"/>
      </w:pPr>
      <w:r>
        <w:rPr>
          <w:rFonts w:ascii="Arial" w:cs="Arial" w:eastAsia="Arial" w:hAnsi="Arial"/>
          <w:sz w:val="24"/>
          <w:szCs w:val="24"/>
        </w:rPr>
        <w:t xml:space="preserve">Приветствовать будут учебные заведения, которые специализируются на специальностях, востребованных в данном регионе, выпускники которых сформируют качественный кадровый потенциал для развития всего региона.</w:t>
      </w:r>
    </w:p>
    <w:p>
      <w:pPr>
        <w:spacing w:after="60"/>
        <w:ind w:firstLine="567"/>
        <w:jc w:val="both"/>
      </w:pPr>
      <w:r>
        <w:rPr>
          <w:rFonts w:ascii="Arial" w:cs="Arial" w:eastAsia="Arial" w:hAnsi="Arial"/>
          <w:sz w:val="24"/>
          <w:szCs w:val="24"/>
        </w:rPr>
        <w:t xml:space="preserve">Для привлечения на территорию опорных точек роста учебных заведений, обладающих вышеперечисленными качествами, местные органы власти создадут следующие условия:</w:t>
      </w:r>
    </w:p>
    <w:p>
      <w:pPr>
        <w:spacing w:after="60"/>
        <w:ind w:firstLine="567"/>
        <w:jc w:val="both"/>
      </w:pPr>
      <w:r>
        <w:rPr>
          <w:rFonts w:ascii="Arial" w:cs="Arial" w:eastAsia="Arial" w:hAnsi="Arial"/>
          <w:sz w:val="24"/>
          <w:szCs w:val="24"/>
        </w:rPr>
        <w:t xml:space="preserve">1) предоставят муниципальные здания в аренду методом прямого предоставления;</w:t>
      </w:r>
    </w:p>
    <w:p>
      <w:pPr>
        <w:spacing w:after="60"/>
        <w:ind w:firstLine="567"/>
        <w:jc w:val="both"/>
      </w:pPr>
      <w:r>
        <w:rPr>
          <w:rFonts w:ascii="Arial" w:cs="Arial" w:eastAsia="Arial" w:hAnsi="Arial"/>
          <w:sz w:val="24"/>
          <w:szCs w:val="24"/>
        </w:rPr>
        <w:t xml:space="preserve">2) обеспечат ключевых руководителей и преподавателей учебных заведений муниципальным жильем и предоставят скидки на коммунальные услуги;</w:t>
      </w:r>
    </w:p>
    <w:p>
      <w:pPr>
        <w:spacing w:after="60"/>
        <w:ind w:firstLine="567"/>
        <w:jc w:val="both"/>
      </w:pPr>
      <w:r>
        <w:rPr>
          <w:rFonts w:ascii="Arial" w:cs="Arial" w:eastAsia="Arial" w:hAnsi="Arial"/>
          <w:sz w:val="24"/>
          <w:szCs w:val="24"/>
        </w:rPr>
        <w:t xml:space="preserve">3) предусмотрят возможность выплаты за счет средств местного бюджета надбавок к основной заработной плате;</w:t>
      </w:r>
    </w:p>
    <w:p>
      <w:pPr>
        <w:spacing w:after="60"/>
        <w:ind w:firstLine="567"/>
        <w:jc w:val="both"/>
      </w:pPr>
      <w:r>
        <w:rPr>
          <w:rFonts w:ascii="Arial" w:cs="Arial" w:eastAsia="Arial" w:hAnsi="Arial"/>
          <w:sz w:val="24"/>
          <w:szCs w:val="24"/>
        </w:rPr>
        <w:t xml:space="preserve">4) внедрят механизм выплаты стипендий наиболее перспективным студентам и студентам из уязвимых групп населения.</w:t>
      </w:r>
    </w:p>
    <w:p>
      <w:pPr>
        <w:spacing w:after="60" w:before="200"/>
        <w:ind w:firstLine="567"/>
        <w:jc w:val="left"/>
      </w:pPr>
      <w:r>
        <w:rPr>
          <w:rFonts w:ascii="Arial" w:cs="Arial" w:eastAsia="Arial" w:hAnsi="Arial"/>
          <w:b/>
          <w:bCs/>
          <w:sz w:val="24"/>
          <w:szCs w:val="24"/>
        </w:rPr>
        <w:t xml:space="preserve">Задача 2. Создание условий для подготовки квалифицированных кадров</w:t>
      </w:r>
    </w:p>
    <w:p>
      <w:pPr>
        <w:spacing w:after="60"/>
        <w:ind w:firstLine="567"/>
        <w:jc w:val="both"/>
      </w:pPr>
      <w:r>
        <w:rPr>
          <w:rFonts w:ascii="Arial" w:cs="Arial" w:eastAsia="Arial" w:hAnsi="Arial"/>
          <w:sz w:val="24"/>
          <w:szCs w:val="24"/>
        </w:rPr>
        <w:t xml:space="preserve">Опорные точки роста должны стать региональными центрами повышения квалификации рабочих кадров. Средние специальные учебные заведения заключат контракты с передовыми предприятиями по внедрению в практику дуального обучения. Широко будет применяться практика оплаты работодателем обучения работников нужным специальностям с последующим гарантированным трудоустройством. Местные органы власти будут стимулировать создание кратко- и среднесрочных курсов подготовки рабочих кадров.</w:t>
      </w:r>
    </w:p>
    <w:p>
      <w:pPr>
        <w:spacing w:after="60"/>
        <w:ind w:firstLine="567"/>
        <w:jc w:val="both"/>
      </w:pPr>
      <w:r>
        <w:rPr>
          <w:rFonts w:ascii="Arial" w:cs="Arial" w:eastAsia="Arial" w:hAnsi="Arial"/>
          <w:sz w:val="24"/>
          <w:szCs w:val="24"/>
        </w:rPr>
        <w:t xml:space="preserve">Для этого будет рассмотрена возможность для предоставления свободных помещений, находящихся в муниципальной собственности, а также изучены возможности использования свободных помещений и мастерских общеобразовательных школ. Органами местного самоуправления будет оказана поддержка в приобретении необходимого учебного оборудования и при необходимости - проведении ремонта помещений.</w:t>
      </w:r>
    </w:p>
    <w:p>
      <w:pPr>
        <w:spacing w:after="60"/>
        <w:ind w:firstLine="567"/>
        <w:jc w:val="both"/>
      </w:pPr>
      <w:r>
        <w:rPr>
          <w:rFonts w:ascii="Arial" w:cs="Arial" w:eastAsia="Arial" w:hAnsi="Arial"/>
          <w:sz w:val="24"/>
          <w:szCs w:val="24"/>
        </w:rPr>
        <w:t xml:space="preserve">Приветствоваться будет создание частных учебных заведений по подготовке специалистов в рамках проектов государственно-частного партнерства.</w:t>
      </w:r>
    </w:p>
    <w:p>
      <w:pPr>
        <w:spacing w:after="200" w:before="200"/>
        <w:jc w:val="center"/>
      </w:pPr>
      <w:r>
        <w:rPr>
          <w:rFonts w:ascii="Arial" w:cs="Arial" w:eastAsia="Arial" w:hAnsi="Arial"/>
          <w:b/>
          <w:bCs/>
          <w:sz w:val="24"/>
          <w:szCs w:val="24"/>
        </w:rPr>
        <w:t xml:space="preserve">§ 5.3. Ожидаемые результаты</w:t>
      </w:r>
    </w:p>
    <w:p>
      <w:pPr>
        <w:spacing w:after="60"/>
        <w:ind w:firstLine="567"/>
        <w:jc w:val="both"/>
      </w:pPr>
      <w:r>
        <w:rPr>
          <w:rFonts w:ascii="Arial" w:cs="Arial" w:eastAsia="Arial" w:hAnsi="Arial"/>
          <w:sz w:val="24"/>
          <w:szCs w:val="24"/>
        </w:rPr>
        <w:t xml:space="preserve">По итогам реализации задач, направленных на привлечение в опорные точки роста передовых учебных заведений, ожидается достижение следующих результатов:</w:t>
      </w:r>
    </w:p>
    <w:p>
      <w:pPr>
        <w:spacing w:after="60"/>
        <w:ind w:firstLine="567"/>
        <w:jc w:val="both"/>
      </w:pPr>
      <w:r>
        <w:rPr>
          <w:rFonts w:ascii="Arial" w:cs="Arial" w:eastAsia="Arial" w:hAnsi="Arial"/>
          <w:sz w:val="24"/>
          <w:szCs w:val="24"/>
        </w:rPr>
        <w:t xml:space="preserve">1) к 2028 году доля студентов и учащихся в общей численности населения города составит не менее 8%;</w:t>
      </w:r>
    </w:p>
    <w:p>
      <w:pPr>
        <w:spacing w:after="60"/>
        <w:ind w:firstLine="567"/>
        <w:jc w:val="both"/>
      </w:pPr>
      <w:r>
        <w:rPr>
          <w:rFonts w:ascii="Arial" w:cs="Arial" w:eastAsia="Arial" w:hAnsi="Arial"/>
          <w:sz w:val="24"/>
          <w:szCs w:val="24"/>
        </w:rPr>
        <w:t xml:space="preserve">2) не менее одного учебного заведения в каждой опорной точке роста к 2028 году войдет в Национальный рейтинг высших учебных заведений Кыргызской Республики;</w:t>
      </w:r>
    </w:p>
    <w:p>
      <w:pPr>
        <w:spacing w:after="60"/>
        <w:ind w:firstLine="567"/>
        <w:jc w:val="both"/>
      </w:pPr>
      <w:r>
        <w:rPr>
          <w:rFonts w:ascii="Arial" w:cs="Arial" w:eastAsia="Arial" w:hAnsi="Arial"/>
          <w:sz w:val="24"/>
          <w:szCs w:val="24"/>
        </w:rPr>
        <w:t xml:space="preserve">3) будут заключены договоры по реализации инвестиционных проектов, предусматривающих обучение рабочим специальностям с последующим трудоустройством.</w:t>
      </w:r>
    </w:p>
    <w:p>
      <w:pPr>
        <w:spacing w:after="200" w:before="200"/>
        <w:jc w:val="center"/>
      </w:pPr>
      <w:r>
        <w:rPr>
          <w:rFonts w:ascii="Arial" w:cs="Arial" w:eastAsia="Arial" w:hAnsi="Arial"/>
          <w:b/>
          <w:bCs/>
          <w:sz w:val="24"/>
          <w:szCs w:val="24"/>
        </w:rPr>
        <w:t xml:space="preserve">Раздел 6. Создание условий для вовлечения граждан в сферу культуры</w:t>
      </w:r>
    </w:p>
    <w:p>
      <w:pPr>
        <w:spacing w:after="200" w:before="200"/>
        <w:jc w:val="center"/>
      </w:pPr>
      <w:r>
        <w:rPr>
          <w:rFonts w:ascii="Arial" w:cs="Arial" w:eastAsia="Arial" w:hAnsi="Arial"/>
          <w:b/>
          <w:bCs/>
          <w:sz w:val="24"/>
          <w:szCs w:val="24"/>
        </w:rPr>
        <w:t xml:space="preserve">§ 6.1. Анализ развития городской культуры</w:t>
      </w:r>
    </w:p>
    <w:p>
      <w:pPr>
        <w:spacing w:after="60"/>
        <w:ind w:firstLine="567"/>
        <w:jc w:val="both"/>
      </w:pPr>
      <w:r>
        <w:rPr>
          <w:rFonts w:ascii="Arial" w:cs="Arial" w:eastAsia="Arial" w:hAnsi="Arial"/>
          <w:sz w:val="24"/>
          <w:szCs w:val="24"/>
        </w:rPr>
        <w:t xml:space="preserve">Особенностью городской культуры является наличие музеев, театров, современных кинотеатров, а также групп граждан, на постоянной основе охваченных кружковой деятельностью. Потенциальные опорные точки роста должны стать центром культурной жизни всего региона.</w:t>
      </w:r>
    </w:p>
    <w:p>
      <w:pPr>
        <w:spacing w:after="60"/>
        <w:ind w:firstLine="567"/>
        <w:jc w:val="both"/>
      </w:pPr>
      <w:r>
        <w:rPr>
          <w:rFonts w:ascii="Arial" w:cs="Arial" w:eastAsia="Arial" w:hAnsi="Arial"/>
          <w:sz w:val="24"/>
          <w:szCs w:val="24"/>
        </w:rPr>
        <w:t xml:space="preserve">Анализ статистических данных показывает рост интереса жителей региональных центров к театральным постановкам практически во всех областных центрах.</w:t>
      </w:r>
    </w:p>
    <w:p>
      <w:pPr>
        <w:spacing w:after="120" w:before="200"/>
        <w:ind w:firstLine="567"/>
        <w:jc w:val="left"/>
      </w:pPr>
      <w:r>
        <w:rPr>
          <w:rFonts w:ascii="Arial" w:cs="Arial" w:eastAsia="Arial" w:hAnsi="Arial"/>
          <w:b/>
          <w:bCs/>
          <w:sz w:val="24"/>
          <w:szCs w:val="24"/>
        </w:rPr>
        <w:t xml:space="preserve">Таблица 4. Динамика изменения численности театральных зрителей в разрезе регионов (тыс. чел.)</w:t>
      </w:r>
    </w:p>
    <w:p>
      <w:pPr>
        <w:spacing w:after="120" w:before="120"/>
        <w:jc w:val="left"/>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989"/>
        <w:gridCol w:w="1238"/>
        <w:gridCol w:w="1238"/>
        <w:gridCol w:w="1238"/>
        <w:gridCol w:w="1238"/>
        <w:gridCol w:w="1238"/>
      </w:tblGrid>
      <w:tr>
        <w:tc>
          <w:tcPr>
            <w:tcW w:type="dxa" w:w="398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23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w:t>
            </w:r>
          </w:p>
        </w:tc>
        <w:tc>
          <w:tcPr>
            <w:tcW w:type="dxa" w:w="123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w:t>
            </w:r>
          </w:p>
        </w:tc>
        <w:tc>
          <w:tcPr>
            <w:tcW w:type="dxa" w:w="123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г.</w:t>
            </w:r>
          </w:p>
        </w:tc>
        <w:tc>
          <w:tcPr>
            <w:tcW w:type="dxa" w:w="123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2021 г.</w:t>
            </w:r>
          </w:p>
        </w:tc>
        <w:tc>
          <w:tcPr>
            <w:tcW w:type="dxa" w:w="123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2022 г.</w:t>
            </w:r>
          </w:p>
        </w:tc>
      </w:tr>
      <w:tr>
        <w:tc>
          <w:tcPr>
            <w:tcW w:type="dxa" w:w="39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Кыргызская Республика</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174,9</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163,2</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35,6</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121,1</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262,0</w:t>
            </w:r>
          </w:p>
        </w:tc>
      </w:tr>
      <w:tr>
        <w:tc>
          <w:tcPr>
            <w:tcW w:type="dxa" w:w="39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w:t>
            </w:r>
          </w:p>
        </w:tc>
      </w:tr>
      <w:tr>
        <w:tc>
          <w:tcPr>
            <w:tcW w:type="dxa" w:w="39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16,7</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w:t>
            </w:r>
          </w:p>
        </w:tc>
      </w:tr>
      <w:tr>
        <w:tc>
          <w:tcPr>
            <w:tcW w:type="dxa" w:w="39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w:t>
            </w:r>
          </w:p>
        </w:tc>
      </w:tr>
      <w:tr>
        <w:tc>
          <w:tcPr>
            <w:tcW w:type="dxa" w:w="39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16,7</w:t>
            </w:r>
          </w:p>
        </w:tc>
      </w:tr>
      <w:tr>
        <w:tc>
          <w:tcPr>
            <w:tcW w:type="dxa" w:w="39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w:t>
            </w:r>
          </w:p>
        </w:tc>
      </w:tr>
      <w:tr>
        <w:tc>
          <w:tcPr>
            <w:tcW w:type="dxa" w:w="39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r>
      <w:tr>
        <w:tc>
          <w:tcPr>
            <w:tcW w:type="dxa" w:w="39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39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Бишкек</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110,7</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96,3</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17,2</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43,3</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147,4</w:t>
            </w:r>
          </w:p>
        </w:tc>
      </w:tr>
      <w:tr>
        <w:tc>
          <w:tcPr>
            <w:tcW w:type="dxa" w:w="39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Ош</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20,9</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22,6</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48,1</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62,9</w:t>
            </w:r>
          </w:p>
        </w:tc>
      </w:tr>
    </w:tbl>
    <w:p>
      <w:pPr>
        <w:spacing w:after="60" w:before="120"/>
        <w:ind w:firstLine="567"/>
        <w:jc w:val="both"/>
      </w:pPr>
      <w:r>
        <w:rPr>
          <w:rFonts w:ascii="Arial" w:cs="Arial" w:eastAsia="Arial" w:hAnsi="Arial"/>
          <w:sz w:val="24"/>
          <w:szCs w:val="24"/>
        </w:rPr>
        <w:t xml:space="preserve">Примечание. Все театры размещены в областных центрах.</w:t>
      </w:r>
    </w:p>
    <w:p>
      <w:pPr>
        <w:spacing w:after="60"/>
        <w:ind w:firstLine="567"/>
        <w:jc w:val="both"/>
      </w:pPr>
      <w:r>
        <w:rPr>
          <w:rFonts w:ascii="Arial" w:cs="Arial" w:eastAsia="Arial" w:hAnsi="Arial"/>
          <w:sz w:val="24"/>
          <w:szCs w:val="24"/>
        </w:rPr>
        <w:t xml:space="preserve">Существующий репертуар театров, уровень театральных постановок не привлекает новых зрителей. В большей степени театры стали местом проведения концертов, шоу.</w:t>
      </w:r>
    </w:p>
    <w:p>
      <w:pPr>
        <w:spacing w:after="60"/>
        <w:ind w:firstLine="567"/>
        <w:jc w:val="both"/>
      </w:pPr>
      <w:r>
        <w:rPr>
          <w:rFonts w:ascii="Arial" w:cs="Arial" w:eastAsia="Arial" w:hAnsi="Arial"/>
          <w:sz w:val="24"/>
          <w:szCs w:val="24"/>
        </w:rPr>
        <w:t xml:space="preserve">Практически не меняется число детей, обучающихся в музыкальных, художественных школах и школах искусств, которые, как правило, расположены в областных центрах и других потенциальных опорных точках роста.</w:t>
      </w:r>
    </w:p>
    <w:p>
      <w:pPr>
        <w:spacing w:after="120" w:before="200"/>
        <w:ind w:firstLine="567"/>
        <w:jc w:val="left"/>
      </w:pPr>
      <w:r>
        <w:rPr>
          <w:rFonts w:ascii="Arial" w:cs="Arial" w:eastAsia="Arial" w:hAnsi="Arial"/>
          <w:b/>
          <w:bCs/>
          <w:sz w:val="24"/>
          <w:szCs w:val="24"/>
        </w:rPr>
        <w:t xml:space="preserve">Таблица 5. Число детей, посещающих музыкальные, художественные школы и школы искусств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81"/>
        <w:gridCol w:w="2580"/>
        <w:gridCol w:w="1106"/>
        <w:gridCol w:w="1106"/>
        <w:gridCol w:w="1106"/>
      </w:tblGrid>
      <w:tr>
        <w:tc>
          <w:tcPr>
            <w:tcW w:type="dxa" w:w="428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учреждений</w:t>
            </w:r>
          </w:p>
        </w:tc>
        <w:tc>
          <w:tcPr>
            <w:tcW w:type="dxa" w:w="258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Единицы</w:t>
            </w:r>
          </w:p>
        </w:tc>
        <w:tc>
          <w:tcPr>
            <w:tcW w:type="dxa" w:w="110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2021 г.</w:t>
            </w:r>
          </w:p>
        </w:tc>
        <w:tc>
          <w:tcPr>
            <w:tcW w:type="dxa" w:w="110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2022 г.</w:t>
            </w:r>
          </w:p>
        </w:tc>
        <w:tc>
          <w:tcPr>
            <w:tcW w:type="dxa" w:w="110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2023 г.</w:t>
            </w:r>
          </w:p>
        </w:tc>
      </w:tr>
      <w:tr>
        <w:tc>
          <w:tcPr>
            <w:tcW w:type="dxa" w:w="428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Музыкальные школы</w:t>
            </w:r>
          </w:p>
        </w:tc>
        <w:tc>
          <w:tcPr>
            <w:tcW w:type="dxa" w:w="2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Число учреждений</w:t>
            </w:r>
          </w:p>
        </w:tc>
        <w:tc>
          <w:tcPr>
            <w:tcW w:type="dxa" w:w="11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11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11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r>
      <w:tr>
        <w:tc>
          <w:tcPr>
            <w:vMerge w:val="continue"/>
            <w:tcBorders>
              <w:top w:val="none" w:color="auto" w:sz="0"/>
              <w:left w:val="single" w:color="CBBF9E" w:sz="4"/>
              <w:bottom w:val="single" w:color="CBBF9E" w:sz="4"/>
              <w:right w:val="single" w:color="CBBF9E" w:sz="4"/>
            </w:tcBorders>
          </w:tcPr>
          <w:p/>
        </w:tc>
        <w:tc>
          <w:tcPr>
            <w:tcW w:type="dxa" w:w="2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Число учащихся</w:t>
            </w:r>
          </w:p>
        </w:tc>
        <w:tc>
          <w:tcPr>
            <w:tcW w:type="dxa" w:w="11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5331</w:t>
            </w:r>
          </w:p>
        </w:tc>
        <w:tc>
          <w:tcPr>
            <w:tcW w:type="dxa" w:w="11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5021</w:t>
            </w:r>
          </w:p>
        </w:tc>
        <w:tc>
          <w:tcPr>
            <w:tcW w:type="dxa" w:w="11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5169</w:t>
            </w:r>
          </w:p>
        </w:tc>
      </w:tr>
      <w:tr>
        <w:tc>
          <w:tcPr>
            <w:tcW w:type="dxa" w:w="428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Детские художественные школы</w:t>
            </w:r>
          </w:p>
        </w:tc>
        <w:tc>
          <w:tcPr>
            <w:tcW w:type="dxa" w:w="2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Число учреждений</w:t>
            </w:r>
          </w:p>
        </w:tc>
        <w:tc>
          <w:tcPr>
            <w:tcW w:type="dxa" w:w="11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r>
      <w:tr>
        <w:tc>
          <w:tcPr>
            <w:vMerge w:val="continue"/>
            <w:tcBorders>
              <w:top w:val="none" w:color="auto" w:sz="0"/>
              <w:left w:val="single" w:color="CBBF9E" w:sz="4"/>
              <w:bottom w:val="single" w:color="CBBF9E" w:sz="4"/>
              <w:right w:val="single" w:color="CBBF9E" w:sz="4"/>
            </w:tcBorders>
          </w:tcPr>
          <w:p/>
        </w:tc>
        <w:tc>
          <w:tcPr>
            <w:tcW w:type="dxa" w:w="2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Число учащихся</w:t>
            </w:r>
          </w:p>
        </w:tc>
        <w:tc>
          <w:tcPr>
            <w:tcW w:type="dxa" w:w="11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376</w:t>
            </w:r>
          </w:p>
        </w:tc>
        <w:tc>
          <w:tcPr>
            <w:tcW w:type="dxa" w:w="11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350</w:t>
            </w:r>
          </w:p>
        </w:tc>
        <w:tc>
          <w:tcPr>
            <w:tcW w:type="dxa" w:w="11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599</w:t>
            </w:r>
          </w:p>
        </w:tc>
      </w:tr>
      <w:tr>
        <w:tc>
          <w:tcPr>
            <w:tcW w:type="dxa" w:w="428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Школы искусств</w:t>
            </w:r>
          </w:p>
        </w:tc>
        <w:tc>
          <w:tcPr>
            <w:tcW w:type="dxa" w:w="2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Число учреждений</w:t>
            </w:r>
          </w:p>
        </w:tc>
        <w:tc>
          <w:tcPr>
            <w:tcW w:type="dxa" w:w="11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11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11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r>
      <w:tr>
        <w:tc>
          <w:tcPr>
            <w:vMerge w:val="continue"/>
            <w:tcBorders>
              <w:top w:val="none" w:color="auto" w:sz="0"/>
              <w:left w:val="single" w:color="CBBF9E" w:sz="4"/>
              <w:bottom w:val="single" w:color="CBBF9E" w:sz="4"/>
              <w:right w:val="single" w:color="CBBF9E" w:sz="4"/>
            </w:tcBorders>
          </w:tcPr>
          <w:p/>
        </w:tc>
        <w:tc>
          <w:tcPr>
            <w:tcW w:type="dxa" w:w="2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Число учащихся</w:t>
            </w:r>
          </w:p>
        </w:tc>
        <w:tc>
          <w:tcPr>
            <w:tcW w:type="dxa" w:w="11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8268</w:t>
            </w:r>
          </w:p>
        </w:tc>
        <w:tc>
          <w:tcPr>
            <w:tcW w:type="dxa" w:w="11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8215</w:t>
            </w:r>
          </w:p>
        </w:tc>
        <w:tc>
          <w:tcPr>
            <w:tcW w:type="dxa" w:w="11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8288</w:t>
            </w:r>
          </w:p>
        </w:tc>
      </w:tr>
    </w:tbl>
    <w:p>
      <w:pPr>
        <w:spacing w:after="120" w:before="120"/>
        <w:jc w:val="left"/>
      </w:pPr>
      <w:r>
        <w:rPr>
          <w:rFonts w:ascii="Arial" w:cs="Arial" w:eastAsia="Arial" w:hAnsi="Arial"/>
          <w:sz w:val="24"/>
          <w:szCs w:val="24"/>
        </w:rPr>
        <w:t xml:space="preserve"/>
      </w:r>
    </w:p>
    <w:p>
      <w:pPr>
        <w:spacing w:after="60" w:before="120"/>
        <w:ind w:firstLine="567"/>
        <w:jc w:val="both"/>
      </w:pPr>
      <w:r>
        <w:rPr>
          <w:rFonts w:ascii="Arial" w:cs="Arial" w:eastAsia="Arial" w:hAnsi="Arial"/>
          <w:sz w:val="24"/>
          <w:szCs w:val="24"/>
        </w:rPr>
        <w:t xml:space="preserve">Примечание. Художественные, музыкальные школы, школы искусств, как правило, располагаются в областных центрах и других городах.</w:t>
      </w:r>
    </w:p>
    <w:p>
      <w:pPr>
        <w:spacing w:after="60"/>
        <w:ind w:firstLine="567"/>
        <w:jc w:val="both"/>
      </w:pPr>
      <w:r>
        <w:rPr>
          <w:rFonts w:ascii="Arial" w:cs="Arial" w:eastAsia="Arial" w:hAnsi="Arial"/>
          <w:sz w:val="24"/>
          <w:szCs w:val="24"/>
        </w:rPr>
        <w:t xml:space="preserve">Широкие возможности предоставляются инициативным группам в рамках действия </w:t>
      </w:r>
      <w:hyperlink w:history="1" r:id="rId9fn2p-4mqv3jw7ztkwak7">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Парке креативных индустрий" по направлениям, касающимся развития культуры: дизайн, изобразительное искусство, медиаискусство, музыка, кино, телевидение, радио, фотография, видеография, видеопродакшн, анимация, графический дизайн, ремесленничество и другие сферы. В перечень организаций, использующих возможности и льготы данного Закона Кыргызской Республики, включена только 21 организация, большинство из которых размещены в городе Бишкек. Важно распространить действие вышеназванного Закона Кыргызской Республики и на региональные центры для мотивирования наиболее активной части населения, молодежи.</w:t>
      </w:r>
    </w:p>
    <w:p>
      <w:pPr>
        <w:spacing w:after="60"/>
        <w:ind w:firstLine="567"/>
        <w:jc w:val="both"/>
      </w:pPr>
      <w:r>
        <w:rPr>
          <w:rFonts w:ascii="Arial" w:cs="Arial" w:eastAsia="Arial" w:hAnsi="Arial"/>
          <w:sz w:val="24"/>
          <w:szCs w:val="24"/>
        </w:rPr>
        <w:t xml:space="preserve">Текущий анализ развития городской культуры позволяет сделать следующие выводы:</w:t>
      </w:r>
    </w:p>
    <w:p>
      <w:pPr>
        <w:spacing w:after="60"/>
        <w:ind w:firstLine="567"/>
        <w:jc w:val="both"/>
      </w:pPr>
      <w:r>
        <w:rPr>
          <w:rFonts w:ascii="Arial" w:cs="Arial" w:eastAsia="Arial" w:hAnsi="Arial"/>
          <w:sz w:val="24"/>
          <w:szCs w:val="24"/>
        </w:rPr>
        <w:t xml:space="preserve">1) в сфере культуры созданы благоприятные условия для развития государственно-частного партнерства, которые в полной мере не используются на региональном уровне;</w:t>
      </w:r>
    </w:p>
    <w:p>
      <w:pPr>
        <w:spacing w:after="60"/>
        <w:ind w:firstLine="567"/>
        <w:jc w:val="both"/>
      </w:pPr>
      <w:r>
        <w:rPr>
          <w:rFonts w:ascii="Arial" w:cs="Arial" w:eastAsia="Arial" w:hAnsi="Arial"/>
          <w:sz w:val="24"/>
          <w:szCs w:val="24"/>
        </w:rPr>
        <w:t xml:space="preserve">2) созданы базовые инфраструктурные условия для развития культуры и искусства на уровне областных центров, но нет дальнейшего развития;</w:t>
      </w:r>
    </w:p>
    <w:p>
      <w:pPr>
        <w:spacing w:after="60"/>
        <w:ind w:firstLine="567"/>
        <w:jc w:val="both"/>
      </w:pPr>
      <w:r>
        <w:rPr>
          <w:rFonts w:ascii="Arial" w:cs="Arial" w:eastAsia="Arial" w:hAnsi="Arial"/>
          <w:sz w:val="24"/>
          <w:szCs w:val="24"/>
        </w:rPr>
        <w:t xml:space="preserve">3) государственные органы и органы местного самоуправления не рассматривают культуру как приоритет развития местного сообщества;</w:t>
      </w:r>
    </w:p>
    <w:p>
      <w:pPr>
        <w:spacing w:after="60"/>
        <w:ind w:firstLine="567"/>
        <w:jc w:val="both"/>
      </w:pPr>
      <w:r>
        <w:rPr>
          <w:rFonts w:ascii="Arial" w:cs="Arial" w:eastAsia="Arial" w:hAnsi="Arial"/>
          <w:sz w:val="24"/>
          <w:szCs w:val="24"/>
        </w:rPr>
        <w:t xml:space="preserve">4) недостаточно ведется работа по поддержке инициатив граждан, особенно женщин и молодежи, в сфере культуры.</w:t>
      </w:r>
    </w:p>
    <w:p>
      <w:pPr>
        <w:spacing w:after="200" w:before="200"/>
        <w:jc w:val="center"/>
      </w:pPr>
      <w:r>
        <w:rPr>
          <w:rFonts w:ascii="Arial" w:cs="Arial" w:eastAsia="Arial" w:hAnsi="Arial"/>
          <w:b/>
          <w:bCs/>
          <w:sz w:val="24"/>
          <w:szCs w:val="24"/>
        </w:rPr>
        <w:t xml:space="preserve">§ 6.2. Задачи по расширению числа граждан, вовлеченных в сферу культуры</w:t>
      </w:r>
    </w:p>
    <w:p>
      <w:pPr>
        <w:spacing w:after="60" w:before="200"/>
        <w:ind w:firstLine="567"/>
        <w:jc w:val="left"/>
      </w:pPr>
      <w:r>
        <w:rPr>
          <w:rFonts w:ascii="Arial" w:cs="Arial" w:eastAsia="Arial" w:hAnsi="Arial"/>
          <w:b/>
          <w:bCs/>
          <w:sz w:val="24"/>
          <w:szCs w:val="24"/>
        </w:rPr>
        <w:t xml:space="preserve">Задача 1. Создание условий для привлечения граждан в сферу культуры</w:t>
      </w:r>
    </w:p>
    <w:p>
      <w:pPr>
        <w:spacing w:after="60"/>
        <w:ind w:firstLine="567"/>
        <w:jc w:val="both"/>
      </w:pPr>
      <w:r>
        <w:rPr>
          <w:rFonts w:ascii="Arial" w:cs="Arial" w:eastAsia="Arial" w:hAnsi="Arial"/>
          <w:sz w:val="24"/>
          <w:szCs w:val="24"/>
        </w:rPr>
        <w:t xml:space="preserve">На территории опорной точки роста необходимо активизировать деятельность местного сообщества, которая будет способствовать вовлечению большего количества граждан в сферу культуры. Многочисленные кружки по интересам, массовые мероприятия, развитие изобразительного искусства, сферы кино, театра, других видов культуры определят направления развития культуры всего региона. Именно на площадках опорных точек роста будут тестироваться и реализовываться новые программы по продвижению культуры среди всех групп населения: молодежи, женщин, пожилых людей, учитывающие современные тренды и национальные традиции.</w:t>
      </w:r>
    </w:p>
    <w:p>
      <w:pPr>
        <w:spacing w:after="60"/>
        <w:ind w:firstLine="567"/>
        <w:jc w:val="both"/>
      </w:pPr>
      <w:r>
        <w:rPr>
          <w:rFonts w:ascii="Arial" w:cs="Arial" w:eastAsia="Arial" w:hAnsi="Arial"/>
          <w:sz w:val="24"/>
          <w:szCs w:val="24"/>
        </w:rPr>
        <w:t xml:space="preserve">В опорных точках роста рекомендуется осуществлять финансирование сферы культуры на основе выделения фиксированной бюджетной квоты в структуре расходов местного бюджета. Необходимо начать практику использования средств фондов развития регионов и стимулирующих грантов для финансирования инфраструктуры, оборудования, инструментов, необходимых для развития сферы культуры.</w:t>
      </w:r>
    </w:p>
    <w:p>
      <w:pPr>
        <w:spacing w:after="60" w:before="200"/>
        <w:ind w:firstLine="567"/>
        <w:jc w:val="left"/>
      </w:pPr>
      <w:r>
        <w:rPr>
          <w:rFonts w:ascii="Arial" w:cs="Arial" w:eastAsia="Arial" w:hAnsi="Arial"/>
          <w:b/>
          <w:bCs/>
          <w:sz w:val="24"/>
          <w:szCs w:val="24"/>
        </w:rPr>
        <w:t xml:space="preserve">Задача 2. Развитие культуры на основе государственно-частного партнерства</w:t>
      </w:r>
    </w:p>
    <w:p>
      <w:pPr>
        <w:spacing w:after="60"/>
        <w:ind w:firstLine="567"/>
        <w:jc w:val="both"/>
      </w:pPr>
      <w:r>
        <w:rPr>
          <w:rFonts w:ascii="Arial" w:cs="Arial" w:eastAsia="Arial" w:hAnsi="Arial"/>
          <w:sz w:val="24"/>
          <w:szCs w:val="24"/>
        </w:rPr>
        <w:t xml:space="preserve">В опорных точках роста необходимо развивать проекты государственно-частного партнерства в сфере культуры.</w:t>
      </w:r>
    </w:p>
    <w:p>
      <w:pPr>
        <w:spacing w:after="60"/>
        <w:ind w:firstLine="567"/>
        <w:jc w:val="both"/>
      </w:pPr>
      <w:r>
        <w:rPr>
          <w:rFonts w:ascii="Arial" w:cs="Arial" w:eastAsia="Arial" w:hAnsi="Arial"/>
          <w:sz w:val="24"/>
          <w:szCs w:val="24"/>
        </w:rPr>
        <w:t xml:space="preserve">В рамках этих проектов будет оказана поддержка частному и некоммерческому секторам, работающим в сфере культуры посредством:</w:t>
      </w:r>
    </w:p>
    <w:p>
      <w:pPr>
        <w:spacing w:after="60"/>
        <w:ind w:firstLine="567"/>
        <w:jc w:val="both"/>
      </w:pPr>
      <w:r>
        <w:rPr>
          <w:rFonts w:ascii="Arial" w:cs="Arial" w:eastAsia="Arial" w:hAnsi="Arial"/>
          <w:sz w:val="24"/>
          <w:szCs w:val="24"/>
        </w:rPr>
        <w:t xml:space="preserve">1) предоставления на льготных условиях государственных/муниципальных зданий, сооружений, оборудования, инструментов;</w:t>
      </w:r>
    </w:p>
    <w:p>
      <w:pPr>
        <w:spacing w:after="60"/>
        <w:ind w:firstLine="567"/>
        <w:jc w:val="both"/>
      </w:pPr>
      <w:r>
        <w:rPr>
          <w:rFonts w:ascii="Arial" w:cs="Arial" w:eastAsia="Arial" w:hAnsi="Arial"/>
          <w:sz w:val="24"/>
          <w:szCs w:val="24"/>
        </w:rPr>
        <w:t xml:space="preserve">2) субсидирования из местного бюджета стоимости платных услуг в сфере культуры.</w:t>
      </w:r>
    </w:p>
    <w:p>
      <w:pPr>
        <w:spacing w:after="60"/>
        <w:ind w:firstLine="567"/>
        <w:jc w:val="both"/>
      </w:pPr>
      <w:r>
        <w:rPr>
          <w:rFonts w:ascii="Arial" w:cs="Arial" w:eastAsia="Arial" w:hAnsi="Arial"/>
          <w:sz w:val="24"/>
          <w:szCs w:val="24"/>
        </w:rPr>
        <w:t xml:space="preserve">Местные органы власти на основе партнерства с дирекцией Парка креативных индустрий, Ассоциацией креативных индустрий, международными проектами для поддержки инициатив местных предпринимателей, работающих в сфере культуры, создадут условия, предусматривающие предоставление налоговых льгот в рамках действия </w:t>
      </w:r>
      <w:hyperlink w:history="1" r:id="rId4hpu2awmlfiszxrt_sjna">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Парке креативных индустрий".</w:t>
      </w:r>
    </w:p>
    <w:p>
      <w:pPr>
        <w:spacing w:after="200" w:before="200"/>
        <w:jc w:val="center"/>
      </w:pPr>
      <w:r>
        <w:rPr>
          <w:rFonts w:ascii="Arial" w:cs="Arial" w:eastAsia="Arial" w:hAnsi="Arial"/>
          <w:b/>
          <w:bCs/>
          <w:sz w:val="24"/>
          <w:szCs w:val="24"/>
        </w:rPr>
        <w:t xml:space="preserve">§ 6.3. Ожидаемые результаты</w:t>
      </w:r>
    </w:p>
    <w:p>
      <w:pPr>
        <w:spacing w:after="60"/>
        <w:ind w:firstLine="567"/>
        <w:jc w:val="both"/>
      </w:pPr>
      <w:r>
        <w:rPr>
          <w:rFonts w:ascii="Arial" w:cs="Arial" w:eastAsia="Arial" w:hAnsi="Arial"/>
          <w:sz w:val="24"/>
          <w:szCs w:val="24"/>
        </w:rPr>
        <w:t xml:space="preserve">По итогам реализации задач по созданию условий для вовлечения граждан в сферу культуры ожидается достижение следующих результатов:</w:t>
      </w:r>
    </w:p>
    <w:p>
      <w:pPr>
        <w:spacing w:after="60"/>
        <w:ind w:firstLine="567"/>
        <w:jc w:val="both"/>
      </w:pPr>
      <w:r>
        <w:rPr>
          <w:rFonts w:ascii="Arial" w:cs="Arial" w:eastAsia="Arial" w:hAnsi="Arial"/>
          <w:sz w:val="24"/>
          <w:szCs w:val="24"/>
        </w:rPr>
        <w:t xml:space="preserve">1) ежегодный рост числа детей, молодежи, на постоянной основе занимающихся в музыкальных школах, детских художественных школах, школах искусств и других кружках деятельность в сфере культуры, - не менее 10%;</w:t>
      </w:r>
    </w:p>
    <w:p>
      <w:pPr>
        <w:spacing w:after="60"/>
        <w:ind w:firstLine="567"/>
        <w:jc w:val="both"/>
      </w:pPr>
      <w:r>
        <w:rPr>
          <w:rFonts w:ascii="Arial" w:cs="Arial" w:eastAsia="Arial" w:hAnsi="Arial"/>
          <w:sz w:val="24"/>
          <w:szCs w:val="24"/>
        </w:rPr>
        <w:t xml:space="preserve">2) рост числа посетителей местных областных театров - не менее 20% в год;</w:t>
      </w:r>
    </w:p>
    <w:p>
      <w:pPr>
        <w:spacing w:after="60"/>
        <w:ind w:firstLine="567"/>
        <w:jc w:val="both"/>
      </w:pPr>
      <w:r>
        <w:rPr>
          <w:rFonts w:ascii="Arial" w:cs="Arial" w:eastAsia="Arial" w:hAnsi="Arial"/>
          <w:sz w:val="24"/>
          <w:szCs w:val="24"/>
        </w:rPr>
        <w:t xml:space="preserve">3) объем финансирования сферы культуры за счет средств местного бюджета - не менее 8% от всех расходов.</w:t>
      </w:r>
    </w:p>
    <w:p>
      <w:pPr>
        <w:spacing w:after="240" w:before="200"/>
        <w:jc w:val="center"/>
      </w:pPr>
      <w:r>
        <w:rPr>
          <w:rFonts w:ascii="Arial" w:cs="Arial" w:eastAsia="Arial" w:hAnsi="Arial"/>
          <w:b/>
          <w:bCs/>
          <w:sz w:val="32"/>
          <w:szCs w:val="32"/>
        </w:rPr>
        <w:t xml:space="preserve">Глава 4. Условия предоставления государственной поддержки развития опорной точки роста</w:t>
      </w:r>
    </w:p>
    <w:p>
      <w:pPr>
        <w:spacing w:after="120"/>
        <w:ind w:firstLine="567"/>
        <w:jc w:val="both"/>
      </w:pPr>
      <w:r>
        <w:rPr>
          <w:rFonts w:ascii="Arial" w:cs="Arial" w:eastAsia="Arial" w:hAnsi="Arial"/>
          <w:sz w:val="24"/>
          <w:szCs w:val="24"/>
        </w:rPr>
        <w:t xml:space="preserve">В целях оказания поддержки инициативам опорных точек роста по развитию территории будет рассматриваться открытие финансирования из республиканского бюджета в форме целевых трансфертов для местных бюджетов опорных точек роста.</w:t>
      </w:r>
    </w:p>
    <w:p>
      <w:pPr>
        <w:spacing w:after="120"/>
        <w:ind w:firstLine="567"/>
        <w:jc w:val="both"/>
      </w:pPr>
      <w:r>
        <w:rPr>
          <w:rFonts w:ascii="Arial" w:cs="Arial" w:eastAsia="Arial" w:hAnsi="Arial"/>
          <w:sz w:val="24"/>
          <w:szCs w:val="24"/>
        </w:rPr>
        <w:t xml:space="preserve">Для получения финансовой поддержки формирования и развития опорной точки роста органы местного самоуправления городов и населенных пунктов вносят в Кабинет Министров Кыргызской Республики мастер-планы развития. Поэтапная финансовая поддержка опорных городов и населенных пунктов из республиканского бюджета будет рассматриваться на основании соответствия критериям опорной точки роста, заключения уполномоченного государственного органа по развитию регионов, мастер-планов развития, утвержденных Кабинетом Министров Кыргызской Республики.</w:t>
      </w:r>
    </w:p>
    <w:p>
      <w:pPr>
        <w:spacing w:after="200" w:before="200"/>
        <w:jc w:val="center"/>
      </w:pPr>
      <w:r>
        <w:rPr>
          <w:rFonts w:ascii="Arial" w:cs="Arial" w:eastAsia="Arial" w:hAnsi="Arial"/>
          <w:b/>
          <w:bCs/>
          <w:sz w:val="24"/>
          <w:szCs w:val="24"/>
        </w:rPr>
        <w:t xml:space="preserve">Глава 5. Ожидаемые результаты реализации Программы</w:t>
      </w:r>
    </w:p>
    <w:p>
      <w:pPr>
        <w:spacing w:after="60"/>
        <w:ind w:firstLine="567"/>
        <w:jc w:val="both"/>
      </w:pPr>
      <w:r>
        <w:rPr>
          <w:rFonts w:ascii="Arial" w:cs="Arial" w:eastAsia="Arial" w:hAnsi="Arial"/>
          <w:sz w:val="24"/>
          <w:szCs w:val="24"/>
        </w:rPr>
        <w:t xml:space="preserve">Успешная реализация Программы позволит к 2030 году достичь главного результата - создать в опорных точках роста благоприятные условия для привлечения инвесторов, которые окажут воздействие на создание качественно нового уровня экономического развития, новой культуры производства. В совокупности такого рода достижения позволят иметь на территории опорных точек роста конкурентную экономику, которая окажет воздействие на создание смежных передовых предприятий по производству сырья, в первую очередь, сельскохозяйственной продукции, комплектующих элементов, сопутствующих услуг. Высокий уровень культуры производства окажет воздействие на формирование класса квалифицированных специалистов с уровнем заработной платы, превышающем средние показатели по стране.</w:t>
      </w:r>
    </w:p>
    <w:p>
      <w:pPr>
        <w:spacing w:after="60"/>
        <w:ind w:firstLine="567"/>
        <w:jc w:val="both"/>
      </w:pPr>
      <w:r>
        <w:rPr>
          <w:rFonts w:ascii="Arial" w:cs="Arial" w:eastAsia="Arial" w:hAnsi="Arial"/>
          <w:sz w:val="24"/>
          <w:szCs w:val="24"/>
        </w:rPr>
        <w:t xml:space="preserve">Ожидаемые результаты от реализации Программы коррелируют с индикаторами Целей устойчивого развития.</w:t>
      </w:r>
    </w:p>
    <w:p>
      <w:pPr>
        <w:spacing w:after="60"/>
        <w:ind w:firstLine="567"/>
        <w:jc w:val="both"/>
      </w:pPr>
      <w:r>
        <w:rPr>
          <w:rFonts w:ascii="Arial" w:cs="Arial" w:eastAsia="Arial" w:hAnsi="Arial"/>
          <w:sz w:val="24"/>
          <w:szCs w:val="24"/>
        </w:rPr>
        <w:t xml:space="preserve">Цель 1. Повсеместная ликвидация нищеты во всех ее формах. К 2028 году созданы условия для обеспечения равных прав на экономические ресурсы всех групп населения, а также доступ к базовым услугам, соответствующим новым технологиям и финансовым услугам.</w:t>
      </w:r>
    </w:p>
    <w:p>
      <w:pPr>
        <w:spacing w:after="60"/>
        <w:ind w:firstLine="567"/>
        <w:jc w:val="both"/>
      </w:pPr>
      <w:r>
        <w:rPr>
          <w:rFonts w:ascii="Arial" w:cs="Arial" w:eastAsia="Arial" w:hAnsi="Arial"/>
          <w:sz w:val="24"/>
          <w:szCs w:val="24"/>
        </w:rPr>
        <w:t xml:space="preserve">Цель 2. Ликвидация голода, обеспечение продовольственной безопасности, улучшение питания и содействие устойчивому развитию сельского хозяйства. Благоприятная инвестиционная среда позволит обеспечить создание устойчивых систем производства продуктов питания и внедрить методы ведения сельского хозяйства, которые позволяют повысить жизнестойкость, увеличить объемы производства. Влияние будет оказано на укрепление способности адаптироваться к изменению климата и улучшать качество земель и почв.</w:t>
      </w:r>
    </w:p>
    <w:p>
      <w:pPr>
        <w:spacing w:after="60"/>
        <w:ind w:firstLine="567"/>
        <w:jc w:val="both"/>
      </w:pPr>
      <w:r>
        <w:rPr>
          <w:rFonts w:ascii="Arial" w:cs="Arial" w:eastAsia="Arial" w:hAnsi="Arial"/>
          <w:sz w:val="24"/>
          <w:szCs w:val="24"/>
        </w:rPr>
        <w:t xml:space="preserve">Цель 4. Обеспечение справедливого качественного образования. В значительной степени обеспечен для всех женщин и мужчин равный доступ к качественному профессионально-техническому и высшему образованию. Увеличилось число молодых и взрослых людей, обладающих востребованными профессионально-техническими навыками, для трудоустройства, получения достойной работы и занятий предпринимательской деятельностью.</w:t>
      </w:r>
    </w:p>
    <w:p>
      <w:pPr>
        <w:spacing w:after="60"/>
        <w:ind w:firstLine="567"/>
        <w:jc w:val="both"/>
      </w:pPr>
      <w:r>
        <w:rPr>
          <w:rFonts w:ascii="Arial" w:cs="Arial" w:eastAsia="Arial" w:hAnsi="Arial"/>
          <w:sz w:val="24"/>
          <w:szCs w:val="24"/>
        </w:rPr>
        <w:t xml:space="preserve">Цель 8. Содействие устойчивому экономическому росту, полной занятости и достойной работе для всех. Повышена производительность в экономике посредством технической модернизации и инновационной деятельности, в том числе путем уделения особого внимания секторам с высокой добавленной стоимостью и трудоемким секторам. При этом экономический рост не сопровождался ухудшением состояния окружающей среды.</w:t>
      </w:r>
    </w:p>
    <w:p>
      <w:pPr>
        <w:spacing w:after="60"/>
        <w:ind w:firstLine="567"/>
        <w:jc w:val="both"/>
      </w:pPr>
      <w:r>
        <w:rPr>
          <w:rFonts w:ascii="Arial" w:cs="Arial" w:eastAsia="Arial" w:hAnsi="Arial"/>
          <w:sz w:val="24"/>
          <w:szCs w:val="24"/>
        </w:rPr>
        <w:t xml:space="preserve">Цель 9. Создание стойкой инфраструктуры, содействие устойчивой индустриализации и инновациям. На системной основе формируется качественная, экологически устойчивая инфраструктура, в целях поддержки экономического развития и благополучия людей.</w:t>
      </w:r>
    </w:p>
    <w:p>
      <w:pPr>
        <w:spacing w:after="60"/>
        <w:ind w:firstLine="567"/>
        <w:jc w:val="both"/>
      </w:pPr>
      <w:r>
        <w:rPr>
          <w:rFonts w:ascii="Arial" w:cs="Arial" w:eastAsia="Arial" w:hAnsi="Arial"/>
          <w:sz w:val="24"/>
          <w:szCs w:val="24"/>
        </w:rPr>
        <w:t xml:space="preserve">Цель 11. Обеспечение открытости, безопасности, жизнестойкости и экологической устойчивости городов и населенных пунктов. Созданы условия для комплексного и устойчивого планирования населенных пунктов и управления ими на основе широкого участия граждан. Заложены основы для защиты и сохранения культурного наследия. Обеспечен доступ к безопасным и открытым для всех зеленым зонам и общественным местам. Созданы экономические, социальные связи городами и айылными аймаками.</w:t>
      </w:r>
    </w:p>
    <w:p>
      <w:pPr>
        <w:spacing w:after="60"/>
        <w:ind w:firstLine="567"/>
        <w:jc w:val="both"/>
      </w:pPr>
      <w:r>
        <w:rPr>
          <w:rFonts w:ascii="Arial" w:cs="Arial" w:eastAsia="Arial" w:hAnsi="Arial"/>
          <w:sz w:val="24"/>
          <w:szCs w:val="24"/>
        </w:rPr>
        <w:t xml:space="preserve">Цель 12. Обеспечение перехода к рациональным моделям потребления и производства. За счет обновленной системы управления отходами будут существенно снижены объемы отходов. В новых инновационных предприятиях будут внедрены модели рационального потребления и производства.</w:t>
      </w:r>
    </w:p>
    <w:p>
      <w:pPr>
        <w:spacing w:after="60"/>
        <w:ind w:firstLine="567"/>
        <w:jc w:val="both"/>
      </w:pPr>
      <w:r>
        <w:rPr>
          <w:rFonts w:ascii="Arial" w:cs="Arial" w:eastAsia="Arial" w:hAnsi="Arial"/>
          <w:sz w:val="24"/>
          <w:szCs w:val="24"/>
        </w:rPr>
        <w:t xml:space="preserve">Цель 13. Принятие срочных мер по борьбе с изменением климата и его последствиями. Меры реагирования на изменение климата включены в планирование на региональном и местном уровне. Улучшено просвещение, распространение информации и возможности по смягчению и ослаблению последствий изменения климата, адаптации к ним и раннему предупреждению.</w:t>
      </w:r>
    </w:p>
    <w:p>
      <w:pPr>
        <w:spacing w:after="60"/>
        <w:ind w:firstLine="567"/>
        <w:jc w:val="both"/>
      </w:pPr>
      <w:r>
        <w:rPr>
          <w:rFonts w:ascii="Arial" w:cs="Arial" w:eastAsia="Arial" w:hAnsi="Arial"/>
          <w:sz w:val="24"/>
          <w:szCs w:val="24"/>
        </w:rPr>
        <w:t xml:space="preserve">Результаты Программы внесут вклад в выполнение обязательств Кыргызской Республики по достижению целей устойчивого развития.</w:t>
      </w:r>
    </w:p>
    <w:p>
      <w:pPr>
        <w:spacing w:after="60"/>
        <w:ind w:firstLine="567"/>
        <w:jc w:val="both"/>
      </w:pPr>
      <w:r>
        <w:rPr>
          <w:rFonts w:ascii="Arial" w:cs="Arial" w:eastAsia="Arial" w:hAnsi="Arial"/>
          <w:sz w:val="24"/>
          <w:szCs w:val="24"/>
        </w:rPr>
        <w:t xml:space="preserve">Кроме этого, реализация поставленных задач позволит достичь следующих результатов:</w:t>
      </w:r>
    </w:p>
    <w:p>
      <w:pPr>
        <w:spacing w:after="60"/>
        <w:ind w:firstLine="567"/>
        <w:jc w:val="both"/>
      </w:pPr>
      <w:r>
        <w:rPr>
          <w:rFonts w:ascii="Arial" w:cs="Arial" w:eastAsia="Arial" w:hAnsi="Arial"/>
          <w:sz w:val="24"/>
          <w:szCs w:val="24"/>
        </w:rPr>
        <w:t xml:space="preserve">1) созданная благоприятная среда для привлечения инвесторов будет отвечать интересам всего региона;</w:t>
      </w:r>
    </w:p>
    <w:p>
      <w:pPr>
        <w:spacing w:after="60"/>
        <w:ind w:firstLine="567"/>
        <w:jc w:val="both"/>
      </w:pPr>
      <w:r>
        <w:rPr>
          <w:rFonts w:ascii="Arial" w:cs="Arial" w:eastAsia="Arial" w:hAnsi="Arial"/>
          <w:sz w:val="24"/>
          <w:szCs w:val="24"/>
        </w:rPr>
        <w:t xml:space="preserve">2) улучшенная городская инфраструктура делает жизнь граждан более комфортной, "притягивает" к опорной точке роста жителей близлежащих регионов;</w:t>
      </w:r>
    </w:p>
    <w:p>
      <w:pPr>
        <w:spacing w:after="60"/>
        <w:ind w:firstLine="567"/>
        <w:jc w:val="both"/>
      </w:pPr>
      <w:r>
        <w:rPr>
          <w:rFonts w:ascii="Arial" w:cs="Arial" w:eastAsia="Arial" w:hAnsi="Arial"/>
          <w:sz w:val="24"/>
          <w:szCs w:val="24"/>
        </w:rPr>
        <w:t xml:space="preserve">3) созданная экономически устойчивая система организации услуг станет примером для других городов и айылных аймаков, будет тиражироваться в масштабах региона;</w:t>
      </w:r>
    </w:p>
    <w:p>
      <w:pPr>
        <w:spacing w:after="60"/>
        <w:ind w:firstLine="567"/>
        <w:jc w:val="both"/>
      </w:pPr>
      <w:r>
        <w:rPr>
          <w:rFonts w:ascii="Arial" w:cs="Arial" w:eastAsia="Arial" w:hAnsi="Arial"/>
          <w:sz w:val="24"/>
          <w:szCs w:val="24"/>
        </w:rPr>
        <w:t xml:space="preserve">4) привлеченные на территорию опорных точек роста передовые высшие и средние учебные заведения станут местом притяжения молодежи региона, создадут конкурентные условия по сравнению с аналогичными учебными заведениями столицы, снизится поток миграции молодежи в города Бишкек и Ош;</w:t>
      </w:r>
    </w:p>
    <w:p>
      <w:pPr>
        <w:spacing w:after="60"/>
        <w:ind w:firstLine="567"/>
        <w:jc w:val="both"/>
      </w:pPr>
      <w:r>
        <w:rPr>
          <w:rFonts w:ascii="Arial" w:cs="Arial" w:eastAsia="Arial" w:hAnsi="Arial"/>
          <w:sz w:val="24"/>
          <w:szCs w:val="24"/>
        </w:rPr>
        <w:t xml:space="preserve">5) развитая сфера культуры в опорных точках роста, инновации в этом направлении, дадут толчок развитию культуры в других малых городах и айылных аймаках региона.</w:t>
      </w:r>
    </w:p>
    <w:p>
      <w:pPr>
        <w:spacing w:after="200" w:before="200"/>
        <w:jc w:val="center"/>
      </w:pPr>
      <w:r>
        <w:rPr>
          <w:rFonts w:ascii="Arial" w:cs="Arial" w:eastAsia="Arial" w:hAnsi="Arial"/>
          <w:b/>
          <w:bCs/>
          <w:sz w:val="24"/>
          <w:szCs w:val="24"/>
        </w:rPr>
        <w:t xml:space="preserve">Глава 6. Благоприятные предпосылки и риски</w:t>
      </w:r>
    </w:p>
    <w:p>
      <w:pPr>
        <w:spacing w:after="60"/>
        <w:ind w:firstLine="567"/>
        <w:jc w:val="both"/>
      </w:pPr>
      <w:r>
        <w:rPr>
          <w:rFonts w:ascii="Arial" w:cs="Arial" w:eastAsia="Arial" w:hAnsi="Arial"/>
          <w:sz w:val="24"/>
          <w:szCs w:val="24"/>
        </w:rPr>
        <w:t xml:space="preserve">Наблюдаемый в последние 2-3 года поступательный рост экономики придает уверенность в том, что усилиями государственных органов и органов местного самоуправления будут достигнуты показатели, характеризующие развитие опорных точек роста.</w:t>
      </w:r>
    </w:p>
    <w:p>
      <w:pPr>
        <w:spacing w:after="60"/>
        <w:ind w:firstLine="567"/>
        <w:jc w:val="both"/>
      </w:pPr>
      <w:r>
        <w:rPr>
          <w:rFonts w:ascii="Arial" w:cs="Arial" w:eastAsia="Arial" w:hAnsi="Arial"/>
          <w:sz w:val="24"/>
          <w:szCs w:val="24"/>
        </w:rPr>
        <w:t xml:space="preserve">На поддержку социально-экономического развития городов с 2022 года из республиканского бюджета выделяются целевые трансферты, такая поддержка будет продолжена и в рамках настоящей Программы.</w:t>
      </w:r>
    </w:p>
    <w:p>
      <w:pPr>
        <w:spacing w:after="60"/>
        <w:ind w:firstLine="567"/>
        <w:jc w:val="both"/>
      </w:pPr>
      <w:r>
        <w:rPr>
          <w:rFonts w:ascii="Arial" w:cs="Arial" w:eastAsia="Arial" w:hAnsi="Arial"/>
          <w:sz w:val="24"/>
          <w:szCs w:val="24"/>
        </w:rPr>
        <w:t xml:space="preserve">Действующие программные документы страны, сформированная нормативная правовая база позволяют в полной мере реализовать поставленные в Программе задачи.</w:t>
      </w:r>
    </w:p>
    <w:p>
      <w:pPr>
        <w:spacing w:after="60"/>
        <w:ind w:firstLine="567"/>
        <w:jc w:val="both"/>
      </w:pPr>
      <w:r>
        <w:rPr>
          <w:rFonts w:ascii="Arial" w:cs="Arial" w:eastAsia="Arial" w:hAnsi="Arial"/>
          <w:sz w:val="24"/>
          <w:szCs w:val="24"/>
        </w:rPr>
        <w:t xml:space="preserve">При реализации Программы могут иметь место риски следующего характера:</w:t>
      </w:r>
    </w:p>
    <w:p>
      <w:pPr>
        <w:spacing w:after="60"/>
        <w:ind w:firstLine="567"/>
        <w:jc w:val="both"/>
      </w:pPr>
      <w:r>
        <w:rPr>
          <w:rFonts w:ascii="Arial" w:cs="Arial" w:eastAsia="Arial" w:hAnsi="Arial"/>
          <w:sz w:val="24"/>
          <w:szCs w:val="24"/>
        </w:rPr>
        <w:t xml:space="preserve">1) недостаточное стремление руководителей государственных органов и органов местного самоуправления к реализации задач, установленных Программой;</w:t>
      </w:r>
    </w:p>
    <w:p>
      <w:pPr>
        <w:spacing w:after="60"/>
        <w:ind w:firstLine="567"/>
        <w:jc w:val="both"/>
      </w:pPr>
      <w:r>
        <w:rPr>
          <w:rFonts w:ascii="Arial" w:cs="Arial" w:eastAsia="Arial" w:hAnsi="Arial"/>
          <w:sz w:val="24"/>
          <w:szCs w:val="24"/>
        </w:rPr>
        <w:t xml:space="preserve">2) ограниченность финансовых, материальных, кадровых ресурсов для реализации Программы в полном объеме.</w:t>
      </w:r>
    </w:p>
    <w:p>
      <w:pPr>
        <w:spacing w:after="60"/>
        <w:ind w:firstLine="567"/>
        <w:jc w:val="both"/>
      </w:pPr>
      <w:r>
        <w:rPr>
          <w:rFonts w:ascii="Arial" w:cs="Arial" w:eastAsia="Arial" w:hAnsi="Arial"/>
          <w:sz w:val="24"/>
          <w:szCs w:val="24"/>
        </w:rPr>
        <w:t xml:space="preserve">В целях снижения воздействия обозначенных рисков меры и индикаторы, установленные в настоящей Программе, будут определены для областных центров - опорных точек роста в виде задач, утвержденных решением Кабинета Министров Кыргызской Республики.</w:t>
      </w:r>
    </w:p>
    <w:p>
      <w:pPr>
        <w:spacing w:after="60"/>
        <w:ind w:firstLine="567"/>
        <w:jc w:val="both"/>
      </w:pPr>
      <w:r>
        <w:rPr>
          <w:rFonts w:ascii="Arial" w:cs="Arial" w:eastAsia="Arial" w:hAnsi="Arial"/>
          <w:sz w:val="24"/>
          <w:szCs w:val="24"/>
        </w:rPr>
        <w:t xml:space="preserve">Для реализации Программы будут привлекаться средства Фонда социального партнерства по развитию регионов, фондов развития регионов, средства стимулирующих грантов.</w:t>
      </w:r>
    </w:p>
    <w:p>
      <w:pPr>
        <w:spacing w:after="200" w:before="200"/>
        <w:jc w:val="center"/>
      </w:pPr>
      <w:r>
        <w:rPr>
          <w:rFonts w:ascii="Arial" w:cs="Arial" w:eastAsia="Arial" w:hAnsi="Arial"/>
          <w:b/>
          <w:bCs/>
          <w:sz w:val="24"/>
          <w:szCs w:val="24"/>
        </w:rPr>
        <w:t xml:space="preserve">Глава 7. Система мониторинга и оценки Программы</w:t>
      </w:r>
    </w:p>
    <w:p>
      <w:pPr>
        <w:spacing w:after="60"/>
        <w:ind w:firstLine="567"/>
        <w:jc w:val="both"/>
      </w:pPr>
      <w:r>
        <w:rPr>
          <w:rFonts w:ascii="Arial" w:cs="Arial" w:eastAsia="Arial" w:hAnsi="Arial"/>
          <w:sz w:val="24"/>
          <w:szCs w:val="24"/>
        </w:rPr>
        <w:t xml:space="preserve">В соответствии с поставленными задачами система мониторинга и оценки базируется на группах индикаторов, которые характеризуют процесс реализации Программы:</w:t>
      </w:r>
    </w:p>
    <w:p>
      <w:pPr>
        <w:spacing w:after="60"/>
        <w:ind w:firstLine="567"/>
        <w:jc w:val="both"/>
      </w:pPr>
      <w:r>
        <w:rPr>
          <w:rFonts w:ascii="Arial" w:cs="Arial" w:eastAsia="Arial" w:hAnsi="Arial"/>
          <w:sz w:val="24"/>
          <w:szCs w:val="24"/>
        </w:rPr>
        <w:t xml:space="preserve">1) индикаторы на основе плановых и периодически отслеживаемых данных;</w:t>
      </w:r>
    </w:p>
    <w:p>
      <w:pPr>
        <w:spacing w:after="60"/>
        <w:ind w:firstLine="567"/>
        <w:jc w:val="both"/>
      </w:pPr>
      <w:r>
        <w:rPr>
          <w:rFonts w:ascii="Arial" w:cs="Arial" w:eastAsia="Arial" w:hAnsi="Arial"/>
          <w:sz w:val="24"/>
          <w:szCs w:val="24"/>
        </w:rPr>
        <w:t xml:space="preserve">2) индикаторы оценки мнения ключевых бенефициариев Программы.</w:t>
      </w:r>
    </w:p>
    <w:p>
      <w:pPr>
        <w:spacing w:after="60"/>
        <w:ind w:firstLine="567"/>
        <w:jc w:val="both"/>
      </w:pPr>
      <w:r>
        <w:rPr>
          <w:rFonts w:ascii="Arial" w:cs="Arial" w:eastAsia="Arial" w:hAnsi="Arial"/>
          <w:sz w:val="24"/>
          <w:szCs w:val="24"/>
        </w:rPr>
        <w:t xml:space="preserve">Плановые и периодически отслеживаемые индикаторы включают в себя индикаторы задач, определенных в настоящей Программе (см. матрицу индикаторов в </w:t>
      </w:r>
      <w:hyperlink w:history="1" r:id="rIdphfgp4jo6rwzcsltja8av">
        <w:r>
          <w:rPr>
            <w:rFonts w:ascii="Arial" w:cs="Arial" w:eastAsia="Arial" w:hAnsi="Arial"/>
            <w:color w:val="1D4ED8"/>
            <w:sz w:val="24"/>
            <w:szCs w:val="24"/>
            <w:u w:val="single"/>
          </w:rPr>
          <w:t xml:space="preserve">приложении 3</w:t>
        </w:r>
      </w:hyperlink>
      <w:r>
        <w:rPr>
          <w:rFonts w:ascii="Arial" w:cs="Arial" w:eastAsia="Arial" w:hAnsi="Arial"/>
          <w:sz w:val="24"/>
          <w:szCs w:val="24"/>
        </w:rPr>
        <w:t xml:space="preserve">). Динамику изменений значений этих индикаторов оценивает группа мониторинга и оценки, которая создается решением исполнительного органа местного самоуправления опорной точки роста. По итогам полугодия органом местного самоуправления направляются в Министерство экономики и коммерции Кыргызской Республики годовые отчеты. Министерством экономики и коммерции Кыргызской Республики на периодической основе, выборочно будет проводиться оценка соответствия представленных отчетов фактическим результатам.</w:t>
      </w:r>
    </w:p>
    <w:p>
      <w:pPr>
        <w:spacing w:after="60"/>
        <w:ind w:firstLine="567"/>
        <w:jc w:val="both"/>
      </w:pPr>
      <w:r>
        <w:rPr>
          <w:rFonts w:ascii="Arial" w:cs="Arial" w:eastAsia="Arial" w:hAnsi="Arial"/>
          <w:sz w:val="24"/>
          <w:szCs w:val="24"/>
        </w:rPr>
        <w:t xml:space="preserve">По итогам анализа отчетов Министерство экономики и коммерции Кыргызской Республики направляет сводный отчет по реализации Программы в Администрацию Президента Кыргызской Республики.</w:t>
      </w:r>
    </w:p>
    <w:p>
      <w:pPr>
        <w:spacing w:after="60"/>
        <w:ind w:firstLine="567"/>
        <w:jc w:val="both"/>
      </w:pPr>
      <w:r>
        <w:rPr>
          <w:rFonts w:ascii="Arial" w:cs="Arial" w:eastAsia="Arial" w:hAnsi="Arial"/>
          <w:sz w:val="24"/>
          <w:szCs w:val="24"/>
        </w:rPr>
        <w:t xml:space="preserve">Воздействие реализации настоящей Программы на изменение качества жизни граждан оценивается посредством оценки мнения граждан, проживающих на территории опорной точки роста и всего региона. Оценка проводится независимой исследовательской организацией. Отбор такой организации осуществляет Министерство экономики и коммерции Кыргызской Республики. Оценка мнения граждан проводится не менее одного раза в два года.</w:t>
      </w:r>
    </w:p>
    <w:p>
      <w:pPr>
        <w:spacing w:after="60"/>
        <w:ind w:firstLine="567"/>
        <w:jc w:val="both"/>
      </w:pPr>
      <w:r>
        <w:rPr>
          <w:rFonts w:ascii="Arial" w:cs="Arial" w:eastAsia="Arial" w:hAnsi="Arial"/>
          <w:sz w:val="24"/>
          <w:szCs w:val="24"/>
        </w:rPr>
        <w:t xml:space="preserve">По результатам мониторинга и оценки Министерство экономики и коммерции Кыргызской Республики при необходимости вносит предложение в Кабинет Министров Кыргызской Республики о внесении дополнений и изменений в Программу.</w:t>
      </w:r>
    </w:p>
    <w:p>
      <w:pPr>
        <w:spacing w:after="200" w:before="200"/>
        <w:jc w:val="center"/>
      </w:pPr>
      <w:r>
        <w:rPr>
          <w:rFonts w:ascii="Arial" w:cs="Arial" w:eastAsia="Arial" w:hAnsi="Arial"/>
          <w:b/>
          <w:bCs/>
          <w:sz w:val="24"/>
          <w:szCs w:val="24"/>
        </w:rPr>
        <w:t xml:space="preserve">Глава 8. Оценка ресурсной обеспеченности</w:t>
      </w:r>
    </w:p>
    <w:p>
      <w:pPr>
        <w:spacing w:after="60"/>
        <w:ind w:firstLine="567"/>
        <w:jc w:val="both"/>
      </w:pPr>
      <w:r>
        <w:rPr>
          <w:rFonts w:ascii="Arial" w:cs="Arial" w:eastAsia="Arial" w:hAnsi="Arial"/>
          <w:sz w:val="24"/>
          <w:szCs w:val="24"/>
        </w:rPr>
        <w:t xml:space="preserve">На реализацию Программы потребуются средства в размере 9525,7 тыс. сомов, из них 6475,7 тыс. сомов - за счет подтвержденного текущего финансирования из республиканского и местного бюджетов и 3050,0 тыс. сомов - в рамках сотрудничества с международными партнерами по развитию.</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m_cfmhllragh3qxje03c">
      <w:r>
        <w:rPr>
          <w:rFonts w:ascii="Arial" w:cs="Arial" w:eastAsia="Arial" w:hAnsi="Arial"/>
          <w:color w:val="132D3F"/>
          <w:sz w:val="16"/>
          <w:szCs w:val="16"/>
          <w:u w:val="single"/>
        </w:rPr>
        <w:t xml:space="preserve">dalil.kg/document/230023354</w:t>
      </w:r>
    </w:hyperlink>
  </w:p>
  <w:p>
    <w:pPr>
      <w:spacing w:after="0" w:before="40"/>
      <w:jc w:val="center"/>
    </w:pPr>
    <w:hyperlink w:history="1" r:id="rIdorsjy7pb61_gdzxfnjca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wxrvrpehgo_yj2jfvlst" Type="http://schemas.openxmlformats.org/officeDocument/2006/relationships/hyperlink" Target="https://dalil.kg/document/230023351" TargetMode="External"/><Relationship Id="rIdhjtf6svmhdilstcrlkbpy" Type="http://schemas.openxmlformats.org/officeDocument/2006/relationships/hyperlink" Target="https://dalil.kg/document/230033323" TargetMode="External"/><Relationship Id="rId4scyunfueidrcumic4pll" Type="http://schemas.openxmlformats.org/officeDocument/2006/relationships/hyperlink" Target="https://dalil.kg/document/434830" TargetMode="External"/><Relationship Id="rIdv213twtnqgbr_ohlf0mwj" Type="http://schemas.openxmlformats.org/officeDocument/2006/relationships/hyperlink" Target="https://dalil.kg/document/434830" TargetMode="External"/><Relationship Id="rIdd_jsfne3y-vqzlhkpwl_3" Type="http://schemas.openxmlformats.org/officeDocument/2006/relationships/hyperlink" Target="https://dalil.kg/document/112340" TargetMode="External"/><Relationship Id="rIdedj4s1bdbxtyyhvebolxk" Type="http://schemas.openxmlformats.org/officeDocument/2006/relationships/hyperlink" Target="https://dalil.kg/document/230000204" TargetMode="External"/><Relationship Id="rIdhs4wu5yb7ek_u2g0b1k1p" Type="http://schemas.openxmlformats.org/officeDocument/2006/relationships/hyperlink" Target="https://dalil.kg/document/230000206" TargetMode="External"/><Relationship Id="rIdjux1bx1k3f683m3nac5df" Type="http://schemas.openxmlformats.org/officeDocument/2006/relationships/hyperlink" Target="https://dalil.kg/document/230000206" TargetMode="External"/><Relationship Id="rId3pqxsrux3dr81or5x4ibh" Type="http://schemas.openxmlformats.org/officeDocument/2006/relationships/hyperlink" Target="https://dalil.kg/document/112419" TargetMode="External"/><Relationship Id="rId9fn2p-4mqv3jw7ztkwak7" Type="http://schemas.openxmlformats.org/officeDocument/2006/relationships/hyperlink" Target="https://dalil.kg/document/112419" TargetMode="External"/><Relationship Id="rId4hpu2awmlfiszxrt_sjna" Type="http://schemas.openxmlformats.org/officeDocument/2006/relationships/hyperlink" Target="https://dalil.kg/document/112419" TargetMode="External"/><Relationship Id="rIdphfgp4jo6rwzcsltja8av" Type="http://schemas.openxmlformats.org/officeDocument/2006/relationships/hyperlink" Target="https://dalil.kg/document/230023351#pr3" TargetMode="External"/><Relationship Id="rId8" Type="http://schemas.openxmlformats.org/officeDocument/2006/relationships/image" Target="media/8de64316e95979c063c17bcd5380dc052a2594e9.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m_cfmhllragh3qxje03c" Type="http://schemas.openxmlformats.org/officeDocument/2006/relationships/hyperlink" Target="https://dalil.kg/document/230023354" TargetMode="External"/><Relationship Id="rIdorsjy7pb61_gdzxfnjca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2026-09-26T10:20:57.589Z</dcterms:created>
  <dcterms:modified xsi:type="dcterms:W3CDTF">2026-09-26T10:20:57.589Z</dcterms:modified>
</cp:coreProperties>
</file>

<file path=docProps/custom.xml><?xml version="1.0" encoding="utf-8"?>
<Properties xmlns="http://schemas.openxmlformats.org/officeDocument/2006/custom-properties" xmlns:vt="http://schemas.openxmlformats.org/officeDocument/2006/docPropsVTypes"/>
</file>