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2025 года № 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Административно-процессуальный кодекс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3zgpa79emte7e5-s1qr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 Кенеша Кыргызской Республики, 2017 г., № 1 (2), ст.13)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</w:t>
      </w:r>
      <w:hyperlink w:history="1" r:id="rIdkpvoakkzrk36tleavqy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110 </w:t>
        </w:r>
      </w:hyperlink>
      <w:r>
        <w:rPr>
          <w:rFonts w:ascii="Arial" w:cs="Arial" w:eastAsia="Arial" w:hAnsi="Arial"/>
          <w:sz w:val="24"/>
          <w:szCs w:val="24"/>
        </w:rPr>
        <w:t xml:space="preserve">слова "и обратившихся в суд не позднее 10 лет со дня принятия обжалуемых актов или совершения обжалуемых действий,"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марта 2025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января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zgpa79emte7e5-s1qrv-" Type="http://schemas.openxmlformats.org/officeDocument/2006/relationships/hyperlink" Target="http://kodeks.duckdns.org/document/111520" TargetMode="External"/><Relationship Id="rIdkpvoakkzrk36tleavqyqo" Type="http://schemas.openxmlformats.org/officeDocument/2006/relationships/hyperlink" Target="http://kodeks.duckdns.org/document/111520#st_1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2026-09-23T07:27:37.602Z</dcterms:created>
  <dcterms:modified xsi:type="dcterms:W3CDTF">2026-09-23T07:27:37.602Z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