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РАСПОРЯЖЕНИЕ КАБИНЕТА МИНИСТРОВ КЫРГЫЗСКОЙ РЕСПУБЛИКИ</w:t>
      </w:r>
    </w:p>
    <w:p>
      <w:pPr>
        <w:spacing w:after="120"/>
        <w:jc w:val="center"/>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от 12 марта 2025 года № 156-р</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целях повышения эффективности реализации проектов льготного кредитования государственных программ, оказания государственной поддержки аграрному сектору, в соответствии со статьями </w:t>
      </w:r>
      <w:hyperlink w:history="1" r:id="rIdnrh2ijbamlod3ngd7gjw7">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erzpciaizmr1-ume5x-ez">
        <w:r>
          <w:rPr>
            <w:rFonts w:ascii="Arial" w:cs="Arial" w:eastAsia="Arial" w:hAnsi="Arial"/>
            <w:color w:val="1D4ED8"/>
            <w:sz w:val="24"/>
            <w:szCs w:val="24"/>
            <w:u w:val="single"/>
          </w:rPr>
          <w:t xml:space="preserve">17 </w:t>
        </w:r>
      </w:hyperlink>
      <w:r>
        <w:rPr>
          <w:rFonts w:ascii="Arial" w:cs="Arial" w:eastAsia="Arial" w:hAnsi="Arial"/>
          <w:sz w:val="24"/>
          <w:szCs w:val="24"/>
        </w:rPr>
        <w:t xml:space="preserve">конституционного Закона Кыргызской Республики "О Кабинете Министров Кыргызской Республики":</w:t>
      </w:r>
    </w:p>
    <w:p>
      <w:pPr>
        <w:spacing w:after="120"/>
        <w:ind w:firstLine="567"/>
        <w:jc w:val="both"/>
      </w:pPr>
      <w:r>
        <w:rPr>
          <w:rFonts w:ascii="Arial" w:cs="Arial" w:eastAsia="Arial" w:hAnsi="Arial"/>
          <w:sz w:val="24"/>
          <w:szCs w:val="24"/>
        </w:rPr>
        <w:t xml:space="preserve">Внести в </w:t>
      </w:r>
      <w:hyperlink w:history="1" r:id="rId3keyr1qpcl8v3hypgricu">
        <w:r>
          <w:rPr>
            <w:rFonts w:ascii="Arial" w:cs="Arial" w:eastAsia="Arial" w:hAnsi="Arial"/>
            <w:color w:val="1D4ED8"/>
            <w:sz w:val="24"/>
            <w:szCs w:val="24"/>
            <w:u w:val="single"/>
          </w:rPr>
          <w:t xml:space="preserve">распоряжение </w:t>
        </w:r>
      </w:hyperlink>
      <w:r>
        <w:rPr>
          <w:rFonts w:ascii="Arial" w:cs="Arial" w:eastAsia="Arial" w:hAnsi="Arial"/>
          <w:sz w:val="24"/>
          <w:szCs w:val="24"/>
        </w:rPr>
        <w:t xml:space="preserve">Кабинета Министров Кыргызской Республики от 16 марта 2022 года № 120-р следующие изменения:</w:t>
      </w:r>
    </w:p>
    <w:p>
      <w:pPr>
        <w:spacing w:after="120"/>
        <w:ind w:firstLine="567"/>
        <w:jc w:val="both"/>
      </w:pPr>
      <w:r>
        <w:rPr>
          <w:rFonts w:ascii="Arial" w:cs="Arial" w:eastAsia="Arial" w:hAnsi="Arial"/>
          <w:sz w:val="24"/>
          <w:szCs w:val="24"/>
        </w:rPr>
        <w:t xml:space="preserve">1) пункт 1 дополнить подпунктом 3 следующего содержания:</w:t>
      </w:r>
    </w:p>
    <w:p>
      <w:pPr>
        <w:spacing w:after="120"/>
        <w:ind w:firstLine="567"/>
        <w:jc w:val="both"/>
      </w:pPr>
      <w:r>
        <w:rPr>
          <w:rFonts w:ascii="Arial" w:cs="Arial" w:eastAsia="Arial" w:hAnsi="Arial"/>
          <w:sz w:val="24"/>
          <w:szCs w:val="24"/>
        </w:rPr>
        <w:t xml:space="preserve">"3) проект "Кредитование агропромышленного комплекса путем реализации механизма субсидирования процентных ставок" согласно приложению 3.";</w:t>
      </w:r>
    </w:p>
    <w:p>
      <w:pPr>
        <w:spacing w:after="120"/>
        <w:ind w:firstLine="567"/>
        <w:jc w:val="both"/>
      </w:pPr>
      <w:r>
        <w:rPr>
          <w:rFonts w:ascii="Arial" w:cs="Arial" w:eastAsia="Arial" w:hAnsi="Arial"/>
          <w:sz w:val="24"/>
          <w:szCs w:val="24"/>
        </w:rPr>
        <w:t xml:space="preserve">2) в пункте 2:</w:t>
      </w:r>
    </w:p>
    <w:p>
      <w:pPr>
        <w:spacing w:after="120"/>
        <w:ind w:firstLine="567"/>
        <w:jc w:val="both"/>
      </w:pPr>
      <w:r>
        <w:rPr>
          <w:rFonts w:ascii="Arial" w:cs="Arial" w:eastAsia="Arial" w:hAnsi="Arial"/>
          <w:sz w:val="24"/>
          <w:szCs w:val="24"/>
        </w:rPr>
        <w:t xml:space="preserve">- в подпунктах 1, 3 слова "РСК банк" заменить словами "Элдик банк";</w:t>
      </w:r>
    </w:p>
    <w:p>
      <w:pPr>
        <w:spacing w:after="120"/>
        <w:ind w:firstLine="567"/>
        <w:jc w:val="both"/>
      </w:pPr>
      <w:r>
        <w:rPr>
          <w:rFonts w:ascii="Arial" w:cs="Arial" w:eastAsia="Arial" w:hAnsi="Arial"/>
          <w:sz w:val="24"/>
          <w:szCs w:val="24"/>
        </w:rPr>
        <w:t xml:space="preserve">- подпункт 7 изложить в следующей редакции:</w:t>
      </w:r>
    </w:p>
    <w:p>
      <w:pPr>
        <w:spacing w:after="120"/>
        <w:ind w:firstLine="567"/>
        <w:jc w:val="both"/>
      </w:pPr>
      <w:r>
        <w:rPr>
          <w:rFonts w:ascii="Arial" w:cs="Arial" w:eastAsia="Arial" w:hAnsi="Arial"/>
          <w:sz w:val="24"/>
          <w:szCs w:val="24"/>
        </w:rPr>
        <w:t xml:space="preserve">"7) Министерству финансов Кыргызской Республики в установленном порядке выделить ОАО "Айыл Банк" 125700000 (сто двадцать пять миллионов семьсот тысяч) сомов на субсидирование процентных ставок для реализации проекта "Кредитование агропромышленного комплекса путем реализации механизма субсидирования процентных ставок" из средств республиканского бюджета на 2024 год;</w:t>
      </w:r>
    </w:p>
    <w:p>
      <w:pPr>
        <w:spacing w:after="120"/>
        <w:ind w:firstLine="567"/>
        <w:jc w:val="both"/>
      </w:pPr>
      <w:r>
        <w:rPr>
          <w:rFonts w:ascii="Arial" w:cs="Arial" w:eastAsia="Arial" w:hAnsi="Arial"/>
          <w:sz w:val="24"/>
          <w:szCs w:val="24"/>
        </w:rPr>
        <w:t xml:space="preserve">- при разработке проекта Закона Кыргызской Республики "О внесении изменений в </w:t>
      </w:r>
      <w:hyperlink w:history="1" r:id="rIdv1c_qyzwpq03tzlrocfg8">
        <w:r>
          <w:rPr>
            <w:rFonts w:ascii="Arial" w:cs="Arial" w:eastAsia="Arial" w:hAnsi="Arial"/>
            <w:color w:val="1D4ED8"/>
            <w:sz w:val="24"/>
            <w:szCs w:val="24"/>
            <w:u w:val="single"/>
          </w:rPr>
          <w:t xml:space="preserve">Закон </w:t>
        </w:r>
      </w:hyperlink>
      <w:r>
        <w:rPr>
          <w:rFonts w:ascii="Arial" w:cs="Arial" w:eastAsia="Arial" w:hAnsi="Arial"/>
          <w:sz w:val="24"/>
          <w:szCs w:val="24"/>
        </w:rPr>
        <w:t xml:space="preserve">Кыргызской Республики "О республиканском бюджете Кыргызской Республики на 2025 год и плановый период 2026-2027 годов" предусмотреть средства для субсидирования процентных ставок/наценки по исламским принципам финансирования (далее - процентные ставки) на 2-й транш и последующие транши в соответствующие годы согласно </w:t>
      </w:r>
      <w:hyperlink w:history="1" r:id="rIdf3vgtzbhw1lv9-cmtiwa-">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распоряжению;</w:t>
      </w:r>
    </w:p>
    <w:p>
      <w:pPr>
        <w:spacing w:after="120"/>
        <w:ind w:firstLine="567"/>
        <w:jc w:val="both"/>
      </w:pPr>
      <w:r>
        <w:rPr>
          <w:rFonts w:ascii="Arial" w:cs="Arial" w:eastAsia="Arial" w:hAnsi="Arial"/>
          <w:sz w:val="24"/>
          <w:szCs w:val="24"/>
        </w:rPr>
        <w:t xml:space="preserve">- при разработке проекта Закона Кыргызской Республики "О внесении изменений в </w:t>
      </w:r>
      <w:hyperlink w:history="1" r:id="rId1oqnsinv2tm5t8y10kyyr">
        <w:r>
          <w:rPr>
            <w:rFonts w:ascii="Arial" w:cs="Arial" w:eastAsia="Arial" w:hAnsi="Arial"/>
            <w:color w:val="1D4ED8"/>
            <w:sz w:val="24"/>
            <w:szCs w:val="24"/>
            <w:u w:val="single"/>
          </w:rPr>
          <w:t xml:space="preserve">Закон </w:t>
        </w:r>
      </w:hyperlink>
      <w:r>
        <w:rPr>
          <w:rFonts w:ascii="Arial" w:cs="Arial" w:eastAsia="Arial" w:hAnsi="Arial"/>
          <w:sz w:val="24"/>
          <w:szCs w:val="24"/>
        </w:rPr>
        <w:t xml:space="preserve">Кыргызской Республики "О республиканском бюджете Кыргызской Республики на 2025 год и плановый период 2026-2027 годов" предусмотреть 444400000 (четыреста сорок четыре миллиона четыреста тысяч) сомов для капитализации процентных ставок в целях реализации проекта "Кредитование агропромышленного комплекса путем внедрения механизма капитализации", утвержденного </w:t>
      </w:r>
      <w:hyperlink w:history="1" r:id="rIdtobs16xc6jewgscykrque">
        <w:r>
          <w:rPr>
            <w:rFonts w:ascii="Arial" w:cs="Arial" w:eastAsia="Arial" w:hAnsi="Arial"/>
            <w:color w:val="1D4ED8"/>
            <w:sz w:val="24"/>
            <w:szCs w:val="24"/>
            <w:u w:val="single"/>
          </w:rPr>
          <w:t xml:space="preserve">приложением 3</w:t>
        </w:r>
      </w:hyperlink>
      <w:r>
        <w:rPr>
          <w:rFonts w:ascii="Arial" w:cs="Arial" w:eastAsia="Arial" w:hAnsi="Arial"/>
          <w:sz w:val="24"/>
          <w:szCs w:val="24"/>
        </w:rPr>
        <w:t xml:space="preserve">, в том числе 222200000 (двести двадцать два миллиона двести тысяч) сомов для ОАО "Айыл Банк" и 222200000 (двести двадцать два миллиона двести тысяч) сомов для ОАО "Элдик Банк".";</w:t>
      </w:r>
    </w:p>
    <w:p>
      <w:pPr>
        <w:spacing w:after="120"/>
        <w:ind w:firstLine="567"/>
        <w:jc w:val="both"/>
      </w:pPr>
      <w:r>
        <w:rPr>
          <w:rFonts w:ascii="Arial" w:cs="Arial" w:eastAsia="Arial" w:hAnsi="Arial"/>
          <w:sz w:val="24"/>
          <w:szCs w:val="24"/>
        </w:rPr>
        <w:t xml:space="preserve">3) в </w:t>
      </w:r>
      <w:hyperlink w:history="1" r:id="rIdo9o8s5so575mu0-qc7-fj">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вышеуказанному распоряжению:</w:t>
      </w:r>
    </w:p>
    <w:p>
      <w:pPr>
        <w:spacing w:after="120"/>
        <w:ind w:firstLine="567"/>
        <w:jc w:val="both"/>
      </w:pPr>
      <w:r>
        <w:rPr>
          <w:rFonts w:ascii="Arial" w:cs="Arial" w:eastAsia="Arial" w:hAnsi="Arial"/>
          <w:sz w:val="24"/>
          <w:szCs w:val="24"/>
        </w:rPr>
        <w:t xml:space="preserve">- в пункте 1 слова "куриные яйца" заменить словами "куриные яйца и мясо";</w:t>
      </w:r>
    </w:p>
    <w:p>
      <w:pPr>
        <w:spacing w:after="120"/>
        <w:ind w:firstLine="567"/>
        <w:jc w:val="both"/>
      </w:pPr>
      <w:r>
        <w:rPr>
          <w:rFonts w:ascii="Arial" w:cs="Arial" w:eastAsia="Arial" w:hAnsi="Arial"/>
          <w:sz w:val="24"/>
          <w:szCs w:val="24"/>
        </w:rPr>
        <w:t xml:space="preserve">- в пункте 33 слова "и Национальный банк Кыргызской Республики" исключить;</w:t>
      </w:r>
    </w:p>
    <w:p>
      <w:pPr>
        <w:spacing w:after="120"/>
        <w:ind w:firstLine="567"/>
        <w:jc w:val="both"/>
      </w:pPr>
      <w:r>
        <w:rPr>
          <w:rFonts w:ascii="Arial" w:cs="Arial" w:eastAsia="Arial" w:hAnsi="Arial"/>
          <w:sz w:val="24"/>
          <w:szCs w:val="24"/>
        </w:rPr>
        <w:t xml:space="preserve">- пункт 34 признать утратившим силу;</w:t>
      </w:r>
    </w:p>
    <w:p>
      <w:pPr>
        <w:spacing w:after="120"/>
        <w:ind w:firstLine="567"/>
        <w:jc w:val="both"/>
      </w:pPr>
      <w:r>
        <w:rPr>
          <w:rFonts w:ascii="Arial" w:cs="Arial" w:eastAsia="Arial" w:hAnsi="Arial"/>
          <w:sz w:val="24"/>
          <w:szCs w:val="24"/>
        </w:rPr>
        <w:t xml:space="preserve">4) дополнить </w:t>
      </w:r>
      <w:hyperlink w:history="1" r:id="rIdl0vweqtesfylhpavv8ijn">
        <w:r>
          <w:rPr>
            <w:rFonts w:ascii="Arial" w:cs="Arial" w:eastAsia="Arial" w:hAnsi="Arial"/>
            <w:color w:val="1D4ED8"/>
            <w:sz w:val="24"/>
            <w:szCs w:val="24"/>
            <w:u w:val="single"/>
          </w:rPr>
          <w:t xml:space="preserve">приложением 3</w:t>
        </w:r>
      </w:hyperlink>
      <w:r>
        <w:rPr>
          <w:rFonts w:ascii="Arial" w:cs="Arial" w:eastAsia="Arial" w:hAnsi="Arial"/>
          <w:sz w:val="24"/>
          <w:szCs w:val="24"/>
        </w:rPr>
        <w:t xml:space="preserve"> в редакции согласно </w:t>
      </w:r>
      <w:hyperlink w:history="1" r:id="rId__mio_nndv2ntwicmwlqr">
        <w:r>
          <w:rPr>
            <w:rFonts w:ascii="Arial" w:cs="Arial" w:eastAsia="Arial" w:hAnsi="Arial"/>
            <w:color w:val="1D4ED8"/>
            <w:sz w:val="24"/>
            <w:szCs w:val="24"/>
            <w:u w:val="single"/>
          </w:rPr>
          <w:t xml:space="preserve">приложению </w:t>
        </w:r>
      </w:hyperlink>
      <w:r>
        <w:rPr>
          <w:rFonts w:ascii="Arial" w:cs="Arial" w:eastAsia="Arial" w:hAnsi="Arial"/>
          <w:sz w:val="24"/>
          <w:szCs w:val="24"/>
        </w:rPr>
        <w:t xml:space="preserve">к настоящему распоряжению.</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А.Касымалиев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hyperlink w:history="1" r:id="rIdgr416tame7xgwtb_vd9bs">
        <w:r>
          <w:rPr>
            <w:rFonts w:ascii="Arial" w:cs="Arial" w:eastAsia="Arial" w:hAnsi="Arial"/>
            <w:color w:val="1D4ED8"/>
            <w:sz w:val="24"/>
            <w:szCs w:val="24"/>
            <w:u w:val="single"/>
          </w:rPr>
          <w:t xml:space="preserve">Приложение 3</w:t>
        </w:r>
      </w:hyperlink>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Проект "Кредитование агропромышленного комплекса путем реализации механизма субсидирования процентных ставок"</w:t>
      </w:r>
    </w:p>
    <w:p>
      <w:pPr>
        <w:spacing w:after="240" w:before="200"/>
        <w:jc w:val="center"/>
      </w:pPr>
      <w:r>
        <w:rPr>
          <w:rFonts w:ascii="Arial" w:cs="Arial" w:eastAsia="Arial" w:hAnsi="Arial"/>
          <w:b/>
          <w:bCs/>
          <w:sz w:val="32"/>
          <w:szCs w:val="32"/>
        </w:rPr>
        <w:t xml:space="preserve">Глава 1. Описание реализации Проекта</w:t>
      </w:r>
    </w:p>
    <w:p>
      <w:pPr>
        <w:spacing w:after="120"/>
        <w:ind w:firstLine="567"/>
        <w:jc w:val="both"/>
      </w:pPr>
      <w:r>
        <w:rPr>
          <w:rFonts w:ascii="Arial" w:cs="Arial" w:eastAsia="Arial" w:hAnsi="Arial"/>
          <w:sz w:val="24"/>
          <w:szCs w:val="24"/>
        </w:rPr>
        <w:t xml:space="preserve">1. В рамках реализации проекта "Кредитование агропромышленного комплекса путем реализации механизма субсидирования процентных ставок" (далее - Проект) в течение 2025 года финансовые средства открытого акционерного общества (далее - ОАО) "Айыл Банк" и ОАО "Элдик Банк" будут предоставляться сельскохозяйственным товаропроизводителям, агропромышленным предприятиям, экспортоориентированным предприятиям и субконтракторам.</w:t>
      </w:r>
    </w:p>
    <w:p>
      <w:pPr>
        <w:spacing w:after="120"/>
        <w:ind w:firstLine="567"/>
        <w:jc w:val="both"/>
      </w:pPr>
      <w:r>
        <w:rPr>
          <w:rFonts w:ascii="Arial" w:cs="Arial" w:eastAsia="Arial" w:hAnsi="Arial"/>
          <w:sz w:val="24"/>
          <w:szCs w:val="24"/>
        </w:rPr>
        <w:t xml:space="preserve">2. ОАО "Айыл Банк" и ОАО "Элдик Банк" должны обеспечить выдачу кредитов и финансирования по исламским принципам (далее кредит) по льготным процентным ставкам/наценке по исламским принципам финансирования (далее - процентная ставка) в сумме 2000000000,0 (два миллиарда) сомов.</w:t>
      </w:r>
    </w:p>
    <w:p>
      <w:pPr>
        <w:spacing w:after="120"/>
        <w:ind w:firstLine="567"/>
        <w:jc w:val="both"/>
      </w:pPr>
      <w:r>
        <w:rPr>
          <w:rFonts w:ascii="Arial" w:cs="Arial" w:eastAsia="Arial" w:hAnsi="Arial"/>
          <w:sz w:val="24"/>
          <w:szCs w:val="24"/>
        </w:rPr>
        <w:t xml:space="preserve">3. ОАО "Айыл Банк" и ОАО "Элдик Банк" разрешается за счет собственных расходов устанавливать более длительный льготный период, чем указанный в Проекте.</w:t>
      </w:r>
    </w:p>
    <w:p>
      <w:pPr>
        <w:spacing w:after="120"/>
        <w:ind w:firstLine="567"/>
        <w:jc w:val="both"/>
      </w:pPr>
      <w:r>
        <w:rPr>
          <w:rFonts w:ascii="Arial" w:cs="Arial" w:eastAsia="Arial" w:hAnsi="Arial"/>
          <w:sz w:val="24"/>
          <w:szCs w:val="24"/>
        </w:rPr>
        <w:t xml:space="preserve">4. Коммерческие банки несут ответственность за строгое соблюдение условий и требований Проекта.</w:t>
      </w:r>
    </w:p>
    <w:p>
      <w:pPr>
        <w:spacing w:after="120"/>
        <w:ind w:firstLine="567"/>
        <w:jc w:val="both"/>
      </w:pPr>
      <w:r>
        <w:rPr>
          <w:rFonts w:ascii="Arial" w:cs="Arial" w:eastAsia="Arial" w:hAnsi="Arial"/>
          <w:sz w:val="24"/>
          <w:szCs w:val="24"/>
        </w:rPr>
        <w:t xml:space="preserve">5. Для получения капитализации в рамках Проекта ОАО "Айыл Банк" и ОАО "Элдик Банк" обязаны предоставить в Министерство финансов Кыргызской Республики заявку на капитализацию с указанием фактической суммы кредитования за прошедший год.</w:t>
      </w:r>
    </w:p>
    <w:p>
      <w:pPr>
        <w:spacing w:after="120"/>
        <w:ind w:firstLine="567"/>
        <w:jc w:val="both"/>
      </w:pPr>
      <w:r>
        <w:rPr>
          <w:rFonts w:ascii="Arial" w:cs="Arial" w:eastAsia="Arial" w:hAnsi="Arial"/>
          <w:sz w:val="24"/>
          <w:szCs w:val="24"/>
        </w:rPr>
        <w:t xml:space="preserve">6. Министерство финансов Кыргызской Республики производит расчет суммы капитализации согласно расчетным коэффициентам и готовит финансовый план на соответствующий год для перечисления в ОАО "Айыл Банк" и ОАО "Элдик Банк" транша капитализации.</w:t>
      </w:r>
    </w:p>
    <w:p>
      <w:pPr>
        <w:spacing w:after="120"/>
        <w:ind w:firstLine="567"/>
        <w:jc w:val="both"/>
      </w:pPr>
      <w:r>
        <w:rPr>
          <w:rFonts w:ascii="Arial" w:cs="Arial" w:eastAsia="Arial" w:hAnsi="Arial"/>
          <w:sz w:val="24"/>
          <w:szCs w:val="24"/>
        </w:rPr>
        <w:t xml:space="preserve">7. Суммы капитализации переводятся на расчетный счет ОАО "Айыл Банк" и ОАО "Элдик Банк" Министерством финансов Кыргызской Республики из средств республиканского бюджета в соответствии с внутренними актами Министерства финансов Кыргызской Республики до окончания соответствующего года.</w:t>
      </w:r>
    </w:p>
    <w:p>
      <w:pPr>
        <w:spacing w:after="240" w:before="200"/>
        <w:jc w:val="center"/>
      </w:pPr>
      <w:r>
        <w:rPr>
          <w:rFonts w:ascii="Arial" w:cs="Arial" w:eastAsia="Arial" w:hAnsi="Arial"/>
          <w:b/>
          <w:bCs/>
          <w:sz w:val="32"/>
          <w:szCs w:val="32"/>
        </w:rPr>
        <w:t xml:space="preserve">Глава 2. Расчет капитализации</w:t>
      </w:r>
    </w:p>
    <w:p>
      <w:pPr>
        <w:spacing w:after="120"/>
        <w:ind w:firstLine="567"/>
        <w:jc w:val="both"/>
      </w:pPr>
      <w:r>
        <w:rPr>
          <w:rFonts w:ascii="Arial" w:cs="Arial" w:eastAsia="Arial" w:hAnsi="Arial"/>
          <w:sz w:val="24"/>
          <w:szCs w:val="24"/>
        </w:rPr>
        <w:t xml:space="preserve">8. При предоставлении капитализации принимаются следующие расчетные коэффициенты от ежемесячного объема кредитования коммерческих банков согласно данным Национального банка Кыргызской Республики за 12 месяцев 2024 года:</w:t>
      </w:r>
    </w:p>
    <w:p>
      <w:pPr>
        <w:spacing w:after="120"/>
        <w:ind w:firstLine="567"/>
        <w:jc w:val="both"/>
      </w:pPr>
      <w:r>
        <w:rPr>
          <w:rFonts w:ascii="Arial" w:cs="Arial" w:eastAsia="Arial" w:hAnsi="Arial"/>
          <w:sz w:val="24"/>
          <w:szCs w:val="24"/>
        </w:rPr>
        <w:t xml:space="preserve">1) расчетный коэффициент составляет 12,26 процента годовых независимо от размера процентной ставки;</w:t>
      </w:r>
    </w:p>
    <w:p>
      <w:pPr>
        <w:spacing w:after="120"/>
        <w:ind w:firstLine="567"/>
        <w:jc w:val="both"/>
      </w:pPr>
      <w:r>
        <w:rPr>
          <w:rFonts w:ascii="Arial" w:cs="Arial" w:eastAsia="Arial" w:hAnsi="Arial"/>
          <w:sz w:val="24"/>
          <w:szCs w:val="24"/>
        </w:rPr>
        <w:t xml:space="preserve">2) для кредитов/лизинговых заявок, выдаваемых сроком на 84 месяцев, расчетный коэффициент капитализации составляет 46,49. Из них часть капитализации перечисляется в 2025 году по расчетному коэффициенту 11,11; часть - в 2026 году по расчетному коэффициенту 11,41; часть - в 2027 году по расчетному коэффициенту 8,57; часть - в 2028 году по расчетному коэффициенту 6,68; часть - в 2029 году по расчетному коэффициенту 4,79; часть - в 2030 году по расчетному коэффициенту 2,91 и часть - в 2031 году по расчетному коэффициенту 1,02;</w:t>
      </w:r>
    </w:p>
    <w:p>
      <w:pPr>
        <w:spacing w:after="120"/>
        <w:ind w:firstLine="567"/>
        <w:jc w:val="both"/>
      </w:pPr>
      <w:r>
        <w:rPr>
          <w:rFonts w:ascii="Arial" w:cs="Arial" w:eastAsia="Arial" w:hAnsi="Arial"/>
          <w:sz w:val="24"/>
          <w:szCs w:val="24"/>
        </w:rPr>
        <w:t xml:space="preserve">3) для кредитов/лизинговых заявок, выдаваемых сроком на 60 месяцев, расчетный коэффициент капитализации составляет 34,23. Из них часть капитализации перечисляется в 2025 году по расчетному коэффициенту 11,05; часть - в 2026 году по расчетному коэффициенту 10,58; часть - в 2027 году по расчетному коэффициенту 6,92; часть - в 2028 году по расчетному коэффициенту 4,20 и часть - в 2029 году по расчетному коэффициенту 1,48;</w:t>
      </w:r>
    </w:p>
    <w:p>
      <w:pPr>
        <w:spacing w:after="120"/>
        <w:ind w:firstLine="567"/>
        <w:jc w:val="both"/>
      </w:pPr>
      <w:r>
        <w:rPr>
          <w:rFonts w:ascii="Arial" w:cs="Arial" w:eastAsia="Arial" w:hAnsi="Arial"/>
          <w:sz w:val="24"/>
          <w:szCs w:val="24"/>
        </w:rPr>
        <w:t xml:space="preserve">4) для кредитов/лизинговых заявок, выдаваемых сроком на 36 месяцев, расчетный коэффициент капитализации составляет 21,97. Из них часть капитализации перечисляется в 2025 году по расчетному коэффициенту 10,90; часть - в 2026 году по расчетному коэффициенту 8,41 и часть - в 2027 году по расчетному коэффициенту 2,66.</w:t>
      </w:r>
    </w:p>
    <w:p>
      <w:pPr>
        <w:spacing w:after="120"/>
        <w:ind w:firstLine="567"/>
        <w:jc w:val="both"/>
      </w:pPr>
      <w:r>
        <w:rPr>
          <w:rFonts w:ascii="Arial" w:cs="Arial" w:eastAsia="Arial" w:hAnsi="Arial"/>
          <w:sz w:val="24"/>
          <w:szCs w:val="24"/>
        </w:rPr>
        <w:t xml:space="preserve">В случае недостижения установленной суммы кредитования со стороны коммерческих банков в 2025 году, разница перечисленной суммы капитализации засчитывается на последующий год.</w:t>
      </w:r>
    </w:p>
    <w:p>
      <w:pPr>
        <w:spacing w:after="120"/>
        <w:ind w:firstLine="567"/>
        <w:jc w:val="both"/>
      </w:pPr>
      <w:r>
        <w:rPr>
          <w:rFonts w:ascii="Arial" w:cs="Arial" w:eastAsia="Arial" w:hAnsi="Arial"/>
          <w:sz w:val="24"/>
          <w:szCs w:val="24"/>
        </w:rPr>
        <w:t xml:space="preserve">9. Ежегодная сумма капитализации рассчитывается Министерством финансов Кыргызской Республики. Коэффициент капитализации может колебаться в зависимости от срока выдачи кредита, однако ставка капитализации, составляющая 12,26 процента, остается неизменной.</w:t>
      </w:r>
    </w:p>
    <w:p>
      <w:pPr>
        <w:spacing w:after="240" w:before="200"/>
        <w:jc w:val="center"/>
      </w:pPr>
      <w:r>
        <w:rPr>
          <w:rFonts w:ascii="Arial" w:cs="Arial" w:eastAsia="Arial" w:hAnsi="Arial"/>
          <w:b/>
          <w:bCs/>
          <w:sz w:val="32"/>
          <w:szCs w:val="32"/>
        </w:rPr>
        <w:t xml:space="preserve">Глава 3. Перечисление капитализации</w:t>
      </w:r>
    </w:p>
    <w:p>
      <w:pPr>
        <w:spacing w:after="120"/>
        <w:ind w:firstLine="567"/>
        <w:jc w:val="both"/>
      </w:pPr>
      <w:r>
        <w:rPr>
          <w:rFonts w:ascii="Arial" w:cs="Arial" w:eastAsia="Arial" w:hAnsi="Arial"/>
          <w:sz w:val="24"/>
          <w:szCs w:val="24"/>
        </w:rPr>
        <w:t xml:space="preserve">10. Суммы капитализации, определяемые согласно расчетной формуле, перечисляются ОАО "Айыл Банк" и ОАО "Элдик Банк" Министерством финансов Кыргызской Республики из средств республиканского бюджета семью траншами, в том числе:</w:t>
      </w:r>
    </w:p>
    <w:p>
      <w:pPr>
        <w:spacing w:after="120"/>
        <w:ind w:firstLine="567"/>
        <w:jc w:val="both"/>
      </w:pPr>
      <w:r>
        <w:rPr>
          <w:rFonts w:ascii="Arial" w:cs="Arial" w:eastAsia="Arial" w:hAnsi="Arial"/>
          <w:sz w:val="24"/>
          <w:szCs w:val="24"/>
        </w:rPr>
        <w:t xml:space="preserve">1) первый транш - 300000000,0 (триста миллионов) сомов перечисляется в течение 2025 года;</w:t>
      </w:r>
    </w:p>
    <w:p>
      <w:pPr>
        <w:spacing w:after="120"/>
        <w:ind w:firstLine="567"/>
        <w:jc w:val="both"/>
      </w:pPr>
      <w:r>
        <w:rPr>
          <w:rFonts w:ascii="Arial" w:cs="Arial" w:eastAsia="Arial" w:hAnsi="Arial"/>
          <w:sz w:val="24"/>
          <w:szCs w:val="24"/>
        </w:rPr>
        <w:t xml:space="preserve">2) второй транш - по истечении 365 дней с момента выдачи первого транша;</w:t>
      </w:r>
    </w:p>
    <w:p>
      <w:pPr>
        <w:spacing w:after="120"/>
        <w:ind w:firstLine="567"/>
        <w:jc w:val="both"/>
      </w:pPr>
      <w:r>
        <w:rPr>
          <w:rFonts w:ascii="Arial" w:cs="Arial" w:eastAsia="Arial" w:hAnsi="Arial"/>
          <w:sz w:val="24"/>
          <w:szCs w:val="24"/>
        </w:rPr>
        <w:t xml:space="preserve">3) третий транш - по истечении 365 дней с момента выдачи второго транша;</w:t>
      </w:r>
    </w:p>
    <w:p>
      <w:pPr>
        <w:spacing w:after="120"/>
        <w:ind w:firstLine="567"/>
        <w:jc w:val="both"/>
      </w:pPr>
      <w:r>
        <w:rPr>
          <w:rFonts w:ascii="Arial" w:cs="Arial" w:eastAsia="Arial" w:hAnsi="Arial"/>
          <w:sz w:val="24"/>
          <w:szCs w:val="24"/>
        </w:rPr>
        <w:t xml:space="preserve">4) четвертый транш - по истечении 365 дней с момента выдачи третьего транша;</w:t>
      </w:r>
    </w:p>
    <w:p>
      <w:pPr>
        <w:spacing w:after="120"/>
        <w:ind w:firstLine="567"/>
        <w:jc w:val="both"/>
      </w:pPr>
      <w:r>
        <w:rPr>
          <w:rFonts w:ascii="Arial" w:cs="Arial" w:eastAsia="Arial" w:hAnsi="Arial"/>
          <w:sz w:val="24"/>
          <w:szCs w:val="24"/>
        </w:rPr>
        <w:t xml:space="preserve">5) пятый транш - по истечении 365 дней с момента выдачи четвертого транша;</w:t>
      </w:r>
    </w:p>
    <w:p>
      <w:pPr>
        <w:spacing w:after="120"/>
        <w:ind w:firstLine="567"/>
        <w:jc w:val="both"/>
      </w:pPr>
      <w:r>
        <w:rPr>
          <w:rFonts w:ascii="Arial" w:cs="Arial" w:eastAsia="Arial" w:hAnsi="Arial"/>
          <w:sz w:val="24"/>
          <w:szCs w:val="24"/>
        </w:rPr>
        <w:t xml:space="preserve">6) шестой транш - по истечении 365 дней с момента выдачи пятого транша;</w:t>
      </w:r>
    </w:p>
    <w:p>
      <w:pPr>
        <w:spacing w:after="120"/>
        <w:ind w:firstLine="567"/>
        <w:jc w:val="both"/>
      </w:pPr>
      <w:r>
        <w:rPr>
          <w:rFonts w:ascii="Arial" w:cs="Arial" w:eastAsia="Arial" w:hAnsi="Arial"/>
          <w:sz w:val="24"/>
          <w:szCs w:val="24"/>
        </w:rPr>
        <w:t xml:space="preserve">7) седьмой транш - по истечении 365 дней с момента выдачи шестого транша.</w:t>
      </w:r>
    </w:p>
    <w:p>
      <w:pPr>
        <w:spacing w:after="120"/>
        <w:ind w:firstLine="567"/>
        <w:jc w:val="both"/>
      </w:pPr>
      <w:r>
        <w:rPr>
          <w:rFonts w:ascii="Arial" w:cs="Arial" w:eastAsia="Arial" w:hAnsi="Arial"/>
          <w:sz w:val="24"/>
          <w:szCs w:val="24"/>
        </w:rPr>
        <w:t xml:space="preserve">В случае предоставления недостоверной информации ОАО "Айыл Банк" и ОАО "Элдик Банк" несут ответственность в соответствии с Кодексом Кыргызской Республики о правонарушениях.</w:t>
      </w:r>
    </w:p>
    <w:p>
      <w:pPr>
        <w:spacing w:after="240" w:before="200"/>
        <w:jc w:val="center"/>
      </w:pPr>
      <w:r>
        <w:rPr>
          <w:rFonts w:ascii="Arial" w:cs="Arial" w:eastAsia="Arial" w:hAnsi="Arial"/>
          <w:b/>
          <w:bCs/>
          <w:sz w:val="32"/>
          <w:szCs w:val="32"/>
        </w:rPr>
        <w:t xml:space="preserve">Глава 4. Риски и угрозы</w:t>
      </w:r>
    </w:p>
    <w:p>
      <w:pPr>
        <w:spacing w:after="120"/>
        <w:ind w:firstLine="567"/>
        <w:jc w:val="both"/>
      </w:pPr>
      <w:r>
        <w:rPr>
          <w:rFonts w:ascii="Arial" w:cs="Arial" w:eastAsia="Arial" w:hAnsi="Arial"/>
          <w:sz w:val="24"/>
          <w:szCs w:val="24"/>
        </w:rPr>
        <w:t xml:space="preserve">11. При реализации Проекта имеется риск нецелевого использования средств получателями льготных кредитов/лизинговых заявок.</w:t>
      </w:r>
    </w:p>
    <w:p>
      <w:pPr>
        <w:spacing w:after="120"/>
        <w:ind w:firstLine="567"/>
        <w:jc w:val="both"/>
      </w:pPr>
      <w:r>
        <w:rPr>
          <w:rFonts w:ascii="Arial" w:cs="Arial" w:eastAsia="Arial" w:hAnsi="Arial"/>
          <w:sz w:val="24"/>
          <w:szCs w:val="24"/>
        </w:rPr>
        <w:t xml:space="preserve">12. Минимизация указанного риска осуществляется ОАО "Айыл Банк" и ОАО "Элдик Банк" в установленном порядке.</w:t>
      </w:r>
    </w:p>
    <w:p>
      <w:pPr>
        <w:spacing w:after="120"/>
        <w:ind w:firstLine="567"/>
        <w:jc w:val="both"/>
      </w:pPr>
      <w:r>
        <w:rPr>
          <w:rFonts w:ascii="Arial" w:cs="Arial" w:eastAsia="Arial" w:hAnsi="Arial"/>
          <w:sz w:val="24"/>
          <w:szCs w:val="24"/>
        </w:rPr>
        <w:t xml:space="preserve">13. При обнаружении факта нецелевого использования кредитных средств и средств финансирования, в том числе по исламским принципам (далее - кредитные средства) ОАО "Айыл Банк" и ОАО "Элдик Банк" должны составить соответствующий акт, потребовать от заемщика досрочного погашения остатка неиспользованных кредитных средств или установить процентные ставки в рамках действующих процентных ставок на момент обнаружения факта нецелевого использования кредитных средств. Процентная ставка увеличивается со дня выдачи кредита. В случае досрочного погашения кредита клиентом, средства, перечисленные Министерством финансов Кыргызской Республики в качестве капитализации, остаются в коммерческом банке.</w:t>
      </w:r>
    </w:p>
    <w:p>
      <w:pPr>
        <w:spacing w:after="120"/>
        <w:ind w:firstLine="567"/>
        <w:jc w:val="both"/>
      </w:pPr>
      <w:r>
        <w:rPr>
          <w:rFonts w:ascii="Arial" w:cs="Arial" w:eastAsia="Arial" w:hAnsi="Arial"/>
          <w:sz w:val="24"/>
          <w:szCs w:val="24"/>
        </w:rPr>
        <w:t xml:space="preserve">14. ОАО "Айыл Банк" и ОАО "Элдик Банк" вправе требовать от заемщика досрочного погашения и возврата оставшейся суммы задолженности по капитализации кредитных средств при их нецелевом использовании, соответственно дальнейшая капитализация со стороны Министерства финансов Кыргызской Республики прекращается.</w:t>
      </w:r>
    </w:p>
    <w:p>
      <w:pPr>
        <w:spacing w:after="120"/>
        <w:ind w:firstLine="567"/>
        <w:jc w:val="both"/>
      </w:pPr>
      <w:r>
        <w:rPr>
          <w:rFonts w:ascii="Arial" w:cs="Arial" w:eastAsia="Arial" w:hAnsi="Arial"/>
          <w:sz w:val="24"/>
          <w:szCs w:val="24"/>
        </w:rPr>
        <w:t xml:space="preserve">В случае если после капитализации кредитных средств было выявлено нецелевое использование суммы кредитования со стороны ОАО "Айыл Банк" и ОАО "Элдик Банк" в 2025 году, то разница перечисленной суммы капитализации минусуется с плановой суммы соответствующего года.</w:t>
      </w:r>
    </w:p>
    <w:p>
      <w:pPr>
        <w:spacing w:after="120"/>
        <w:ind w:firstLine="567"/>
        <w:jc w:val="both"/>
      </w:pPr>
      <w:r>
        <w:rPr>
          <w:rFonts w:ascii="Arial" w:cs="Arial" w:eastAsia="Arial" w:hAnsi="Arial"/>
          <w:sz w:val="24"/>
          <w:szCs w:val="24"/>
        </w:rPr>
        <w:t xml:space="preserve">15. С целью минимизации риска необоснованного получения суммы капитализации ОАО "Айыл Банк", ОАО "Элдик Банк" и Министерство водных ресурсов, сельского хозяйства и перерабатывающей промышленности Кыргызской Республики осуществляют выборочный мониторинг целевого использования кредитов и финансирования, в том числе в соответствии с исламскими принципами.".</w:t>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q-2_72x2wr58t5-sdcuw">
      <w:r>
        <w:rPr>
          <w:rFonts w:ascii="Arial" w:cs="Arial" w:eastAsia="Arial" w:hAnsi="Arial"/>
          <w:color w:val="132D3F"/>
          <w:sz w:val="16"/>
          <w:szCs w:val="16"/>
          <w:u w:val="single"/>
        </w:rPr>
        <w:t xml:space="preserve">dalil.kg/document/230025949</w:t>
      </w:r>
    </w:hyperlink>
  </w:p>
  <w:p>
    <w:pPr>
      <w:spacing w:after="0" w:before="40"/>
      <w:jc w:val="center"/>
    </w:pPr>
    <w:hyperlink w:history="1" r:id="rIdytnmvkf1mitcxlgjwmkx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rh2ijbamlod3ngd7gjw7" Type="http://schemas.openxmlformats.org/officeDocument/2006/relationships/hyperlink" Target="https://dalil.kg/document/112301" TargetMode="External"/><Relationship Id="rIderzpciaizmr1-ume5x-ez" Type="http://schemas.openxmlformats.org/officeDocument/2006/relationships/hyperlink" Target="https://dalil.kg/document/112301" TargetMode="External"/><Relationship Id="rId3keyr1qpcl8v3hypgricu" Type="http://schemas.openxmlformats.org/officeDocument/2006/relationships/hyperlink" Target="https://dalil.kg/document/219019" TargetMode="External"/><Relationship Id="rIdv1c_qyzwpq03tzlrocfg8" Type="http://schemas.openxmlformats.org/officeDocument/2006/relationships/hyperlink" Target="https://dalil.kg/document/230021268" TargetMode="External"/><Relationship Id="rIdf3vgtzbhw1lv9-cmtiwa-" Type="http://schemas.openxmlformats.org/officeDocument/2006/relationships/hyperlink" Target="https://dalil.kg/document/219019" TargetMode="External"/><Relationship Id="rId1oqnsinv2tm5t8y10kyyr" Type="http://schemas.openxmlformats.org/officeDocument/2006/relationships/hyperlink" Target="https://dalil.kg/document/230021268" TargetMode="External"/><Relationship Id="rIdtobs16xc6jewgscykrque" Type="http://schemas.openxmlformats.org/officeDocument/2006/relationships/hyperlink" Target="https://dalil.kg/document/219019" TargetMode="External"/><Relationship Id="rIdo9o8s5so575mu0-qc7-fj" Type="http://schemas.openxmlformats.org/officeDocument/2006/relationships/hyperlink" Target="https://dalil.kg/document/219019" TargetMode="External"/><Relationship Id="rIdl0vweqtesfylhpavv8ijn" Type="http://schemas.openxmlformats.org/officeDocument/2006/relationships/hyperlink" Target="https://dalil.kg/document/219019" TargetMode="External"/><Relationship Id="rId__mio_nndv2ntwicmwlqr" Type="http://schemas.openxmlformats.org/officeDocument/2006/relationships/hyperlink" Target="https://dalil.kg/document/230025949#pr1" TargetMode="External"/><Relationship Id="rIdgr416tame7xgwtb_vd9bs" Type="http://schemas.openxmlformats.org/officeDocument/2006/relationships/hyperlink" Target="https://dalil.kg/document/219019"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q-2_72x2wr58t5-sdcuw" Type="http://schemas.openxmlformats.org/officeDocument/2006/relationships/hyperlink" Target="https://dalil.kg/document/230025949" TargetMode="External"/><Relationship Id="rIdytnmvkf1mitcxlgjwmkx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2026-09-25T20:26:48.903Z</dcterms:created>
  <dcterms:modified xsi:type="dcterms:W3CDTF">2026-09-25T20:26:48.903Z</dcterms:modified>
</cp:coreProperties>
</file>

<file path=docProps/custom.xml><?xml version="1.0" encoding="utf-8"?>
<Properties xmlns="http://schemas.openxmlformats.org/officeDocument/2006/custom-properties" xmlns:vt="http://schemas.openxmlformats.org/officeDocument/2006/docPropsVTypes"/>
</file>