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24 апреля 2025 года № 227</w:t>
      </w:r>
    </w:p>
    <w:p>
      <w:pPr>
        <w:spacing w:after="240" w:before="200"/>
        <w:jc w:val="center"/>
      </w:pPr>
      <w:r>
        <w:rPr>
          <w:rFonts w:ascii="Arial" w:cs="Arial" w:eastAsia="Arial" w:hAnsi="Arial"/>
          <w:b/>
          <w:bCs/>
          <w:sz w:val="28"/>
          <w:szCs w:val="28"/>
        </w:rPr>
        <w:t xml:space="preserve">Об утверждении Среднесрочной тарифной политики </w:t>
      </w:r>
    </w:p>
    <w:p>
      <w:pPr>
        <w:spacing w:after="240" w:before="200"/>
        <w:jc w:val="center"/>
      </w:pPr>
      <w:r>
        <w:rPr>
          <w:rFonts w:ascii="Arial" w:cs="Arial" w:eastAsia="Arial" w:hAnsi="Arial"/>
          <w:b/>
          <w:bCs/>
          <w:sz w:val="28"/>
          <w:szCs w:val="28"/>
        </w:rPr>
        <w:t xml:space="preserve">Кыргызской Республики на электрическую энергию на 2025-2030 годы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1gknuthrnewxb3kq8dfak">
        <w:r>
          <w:rPr>
            <w:rFonts w:ascii="Arial" w:cs="Arial" w:eastAsia="Arial" w:hAnsi="Arial"/>
            <w:i/>
            <w:iCs/>
            <w:color w:val="1D4ED8"/>
            <w:sz w:val="24"/>
            <w:szCs w:val="24"/>
            <w:u w:val="single"/>
          </w:rPr>
          <w:t xml:space="preserve">18 июля 2025 года № 427</w:t>
        </w:r>
      </w:hyperlink>
      <w:r>
        <w:rPr>
          <w:rFonts w:ascii="Arial" w:cs="Arial" w:eastAsia="Arial" w:hAnsi="Arial"/>
          <w:i/>
          <w:iCs/>
          <w:sz w:val="24"/>
          <w:szCs w:val="24"/>
        </w:rPr>
        <w:t xml:space="preserve">, </w:t>
      </w:r>
      <w:hyperlink w:history="1" r:id="rIdzpg5nel7rp7xyi82qks6z">
        <w:r>
          <w:rPr>
            <w:rFonts w:ascii="Arial" w:cs="Arial" w:eastAsia="Arial" w:hAnsi="Arial"/>
            <w:i/>
            <w:iCs/>
            <w:color w:val="1D4ED8"/>
            <w:sz w:val="24"/>
            <w:szCs w:val="24"/>
            <w:u w:val="single"/>
          </w:rPr>
          <w:t xml:space="preserve">10 апреля 2026 года № 237</w:t>
        </w:r>
      </w:hyperlink>
      <w:r>
        <w:rPr>
          <w:rFonts w:ascii="Arial" w:cs="Arial" w:eastAsia="Arial" w:hAnsi="Arial"/>
          <w:i/>
          <w:iCs/>
          <w:sz w:val="24"/>
          <w:szCs w:val="24"/>
        </w:rPr>
        <w:t xml:space="preserve">,   </w:t>
      </w:r>
      <w:hyperlink w:history="1" r:id="rId3y7-x0kbxpfv9cij0priy">
        <w:r>
          <w:rPr>
            <w:rFonts w:ascii="Arial" w:cs="Arial" w:eastAsia="Arial" w:hAnsi="Arial"/>
            <w:i/>
            <w:iCs/>
            <w:color w:val="1D4ED8"/>
            <w:sz w:val="24"/>
            <w:szCs w:val="24"/>
            <w:u w:val="single"/>
          </w:rPr>
          <w:t xml:space="preserve">28 апреля 2026 года № 297 </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надежного и бесперебойного электроснабжения потребителей электрической энергии в условиях дефицита, а также обеспечения возмещения расходов электроснабжающих организаций, в соответствии со </w:t>
      </w:r>
      <w:hyperlink w:history="1" r:id="rIdpqrenarva1o3qzmqbuvfl">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"Об энергетике", руководствуясь статьями </w:t>
      </w:r>
      <w:hyperlink w:history="1" r:id="rIdemznbdpcuvh84vo-wypri">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6gnuecpeta-7rornrywe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Утвердить Среднесрочную тарифную политику Кыргызской Республики на электрическую энергию на 2025-2030 годы согласно </w:t>
      </w:r>
      <w:hyperlink w:history="1" r:id="rIduotxwkq1atmwsxrq1dh4g">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Министерству энергетики Кыргызской Республики в установленном порядке утвердить тарифы на электрическую энергию для всех групп потребителей.</w:t>
      </w:r>
    </w:p>
    <w:p>
      <w:pPr>
        <w:spacing w:after="60"/>
        <w:ind w:firstLine="567"/>
        <w:jc w:val="both"/>
      </w:pPr>
      <w:r>
        <w:rPr>
          <w:rFonts w:ascii="Arial" w:cs="Arial" w:eastAsia="Arial" w:hAnsi="Arial"/>
          <w:sz w:val="24"/>
          <w:szCs w:val="24"/>
        </w:rPr>
        <w:t xml:space="preserve">3. Признать утратившими силу:</w:t>
      </w:r>
    </w:p>
    <w:p>
      <w:pPr>
        <w:spacing w:after="60"/>
        <w:ind w:firstLine="567"/>
        <w:jc w:val="both"/>
      </w:pPr>
      <w:r>
        <w:rPr>
          <w:rFonts w:ascii="Arial" w:cs="Arial" w:eastAsia="Arial" w:hAnsi="Arial"/>
          <w:sz w:val="24"/>
          <w:szCs w:val="24"/>
        </w:rPr>
        <w:t xml:space="preserve">1) </w:t>
      </w:r>
      <w:hyperlink w:history="1" r:id="rIdmavcmxqne7m_1632zef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w:t>
      </w:r>
    </w:p>
    <w:p>
      <w:pPr>
        <w:spacing w:after="60"/>
        <w:ind w:firstLine="567"/>
        <w:jc w:val="both"/>
      </w:pPr>
      <w:r>
        <w:rPr>
          <w:rFonts w:ascii="Arial" w:cs="Arial" w:eastAsia="Arial" w:hAnsi="Arial"/>
          <w:sz w:val="24"/>
          <w:szCs w:val="24"/>
        </w:rPr>
        <w:t xml:space="preserve">2) </w:t>
      </w:r>
      <w:hyperlink w:history="1" r:id="rIdqgyevhpluy4hyjz6uzyw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dczno2kmvewkuxcshlwk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10 декабря 2021 года № 299;</w:t>
      </w:r>
    </w:p>
    <w:p>
      <w:pPr>
        <w:spacing w:after="60"/>
        <w:ind w:firstLine="567"/>
        <w:jc w:val="both"/>
      </w:pPr>
      <w:r>
        <w:rPr>
          <w:rFonts w:ascii="Arial" w:cs="Arial" w:eastAsia="Arial" w:hAnsi="Arial"/>
          <w:sz w:val="24"/>
          <w:szCs w:val="24"/>
        </w:rPr>
        <w:t xml:space="preserve">3) </w:t>
      </w:r>
      <w:hyperlink w:history="1" r:id="rIdpjhmvvthewx0yq_hpdj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4fez58rplh2ohife3ya5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23 декабря 2021 года № 328;</w:t>
      </w:r>
    </w:p>
    <w:p>
      <w:pPr>
        <w:spacing w:after="60"/>
        <w:ind w:firstLine="567"/>
        <w:jc w:val="both"/>
      </w:pPr>
      <w:r>
        <w:rPr>
          <w:rFonts w:ascii="Arial" w:cs="Arial" w:eastAsia="Arial" w:hAnsi="Arial"/>
          <w:sz w:val="24"/>
          <w:szCs w:val="24"/>
        </w:rPr>
        <w:t xml:space="preserve">4) </w:t>
      </w:r>
      <w:hyperlink w:history="1" r:id="rIddm3wfmrll_i4mh47lzsu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b1vyzex-pphcbtlef0yi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8 апреля 2022 года № 198;</w:t>
      </w:r>
    </w:p>
    <w:p>
      <w:pPr>
        <w:spacing w:after="60"/>
        <w:ind w:firstLine="567"/>
        <w:jc w:val="both"/>
      </w:pPr>
      <w:r>
        <w:rPr>
          <w:rFonts w:ascii="Arial" w:cs="Arial" w:eastAsia="Arial" w:hAnsi="Arial"/>
          <w:sz w:val="24"/>
          <w:szCs w:val="24"/>
        </w:rPr>
        <w:t xml:space="preserve">5) </w:t>
      </w:r>
      <w:hyperlink w:history="1" r:id="rId8scbtkpgw0rz0jeirjrs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nj7mxaw6imfsu_bymqy1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29 июля 2022 года № 413;</w:t>
      </w:r>
    </w:p>
    <w:p>
      <w:pPr>
        <w:spacing w:after="60"/>
        <w:ind w:firstLine="567"/>
        <w:jc w:val="both"/>
      </w:pPr>
      <w:r>
        <w:rPr>
          <w:rFonts w:ascii="Arial" w:cs="Arial" w:eastAsia="Arial" w:hAnsi="Arial"/>
          <w:sz w:val="24"/>
          <w:szCs w:val="24"/>
        </w:rPr>
        <w:t xml:space="preserve">6) </w:t>
      </w:r>
      <w:hyperlink w:history="1" r:id="rIdemk3pzy1q5an3q30ktn_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w:t>
      </w:r>
      <w:hyperlink w:history="1" r:id="rIdckan-wp3eoz2x4pnhrlt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22 сентября 2022 года № 517;</w:t>
      </w:r>
    </w:p>
    <w:p>
      <w:pPr>
        <w:spacing w:after="60"/>
        <w:ind w:firstLine="567"/>
        <w:jc w:val="both"/>
      </w:pPr>
      <w:r>
        <w:rPr>
          <w:rFonts w:ascii="Arial" w:cs="Arial" w:eastAsia="Arial" w:hAnsi="Arial"/>
          <w:sz w:val="24"/>
          <w:szCs w:val="24"/>
        </w:rPr>
        <w:t xml:space="preserve">7) </w:t>
      </w:r>
      <w:hyperlink w:history="1" r:id="rIdg-1g858wberkhgkn7uni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w8zdmmr6pwgeyy5lsgv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25 ноября 2022 года № 657;</w:t>
      </w:r>
    </w:p>
    <w:p>
      <w:pPr>
        <w:spacing w:after="60"/>
        <w:ind w:firstLine="567"/>
        <w:jc w:val="both"/>
      </w:pPr>
      <w:r>
        <w:rPr>
          <w:rFonts w:ascii="Arial" w:cs="Arial" w:eastAsia="Arial" w:hAnsi="Arial"/>
          <w:sz w:val="24"/>
          <w:szCs w:val="24"/>
        </w:rPr>
        <w:t xml:space="preserve">8) </w:t>
      </w:r>
      <w:hyperlink w:history="1" r:id="rIdflb2splstqjelsnbz8ia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q95p19ap9g12zzg_uc9s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6 апреля 2023 года № 199;</w:t>
      </w:r>
    </w:p>
    <w:p>
      <w:pPr>
        <w:spacing w:after="60"/>
        <w:ind w:firstLine="567"/>
        <w:jc w:val="both"/>
      </w:pPr>
      <w:r>
        <w:rPr>
          <w:rFonts w:ascii="Arial" w:cs="Arial" w:eastAsia="Arial" w:hAnsi="Arial"/>
          <w:sz w:val="24"/>
          <w:szCs w:val="24"/>
        </w:rPr>
        <w:t xml:space="preserve">9) </w:t>
      </w:r>
      <w:hyperlink w:history="1" r:id="rIdffm7rpuot_tontpohmrc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moo2ian3nykcqkk9q9y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12 декабря 2023 года № 665;</w:t>
      </w:r>
    </w:p>
    <w:p>
      <w:pPr>
        <w:spacing w:after="60"/>
        <w:ind w:firstLine="567"/>
        <w:jc w:val="both"/>
      </w:pPr>
      <w:r>
        <w:rPr>
          <w:rFonts w:ascii="Arial" w:cs="Arial" w:eastAsia="Arial" w:hAnsi="Arial"/>
          <w:sz w:val="24"/>
          <w:szCs w:val="24"/>
        </w:rPr>
        <w:t xml:space="preserve">10) </w:t>
      </w:r>
      <w:hyperlink w:history="1" r:id="rIdbnsgsjnj0n0bj_gk5p6e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ecdhgxbwnfptdjyriptp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23 апреля 2024 года № 190;</w:t>
      </w:r>
    </w:p>
    <w:p>
      <w:pPr>
        <w:spacing w:after="60"/>
        <w:ind w:firstLine="567"/>
        <w:jc w:val="both"/>
      </w:pPr>
      <w:r>
        <w:rPr>
          <w:rFonts w:ascii="Arial" w:cs="Arial" w:eastAsia="Arial" w:hAnsi="Arial"/>
          <w:sz w:val="24"/>
          <w:szCs w:val="24"/>
        </w:rPr>
        <w:t xml:space="preserve">11) </w:t>
      </w:r>
      <w:hyperlink w:history="1" r:id="rIdfdh5nbtjunzrihbajqxn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fthi_7alxnnsqtbjdp3v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7 октября 2024 года № 602;</w:t>
      </w:r>
    </w:p>
    <w:p>
      <w:pPr>
        <w:spacing w:after="60"/>
        <w:ind w:firstLine="567"/>
        <w:jc w:val="both"/>
      </w:pPr>
      <w:r>
        <w:rPr>
          <w:rFonts w:ascii="Arial" w:cs="Arial" w:eastAsia="Arial" w:hAnsi="Arial"/>
          <w:sz w:val="24"/>
          <w:szCs w:val="24"/>
        </w:rPr>
        <w:t xml:space="preserve">12) </w:t>
      </w:r>
      <w:hyperlink w:history="1" r:id="rIdtkhl6d-hmfzkfcj1-yd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gvw30zciksliuczkcsu3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10 декабря 2024 года № 752.</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5. Настоящее постановление подлежит официальному опубликованию и вступает в силу с 1 мая 2025 года.</w:t>
      </w:r>
    </w:p>
    <w:p>
      <w:pPr>
        <w:spacing w:after="60"/>
        <w:ind w:firstLine="567"/>
        <w:jc w:val="both"/>
      </w:pPr>
      <w:r>
        <w:rPr>
          <w:rFonts w:ascii="Arial" w:cs="Arial" w:eastAsia="Arial" w:hAnsi="Arial"/>
          <w:i/>
          <w:iCs/>
          <w:sz w:val="24"/>
          <w:szCs w:val="24"/>
        </w:rPr>
        <w:t xml:space="preserve">Опубликовано в официальной государственной газете "Эркин Тоо" от 29 апреля 2025 года № 32 (3688)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СРЕДНЕСРОЧНАЯ ТАРИФНАЯ ПОЛИТИКА
 Кыргызской Республики на электрическую энергию на 2025-2030 годы</w:t>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sn4p_kxsayru7oarg-lxs">
        <w:r>
          <w:rPr>
            <w:rFonts w:ascii="Arial" w:cs="Arial" w:eastAsia="Arial" w:hAnsi="Arial"/>
            <w:i/>
            <w:iCs/>
            <w:color w:val="1D4ED8"/>
            <w:sz w:val="24"/>
            <w:szCs w:val="24"/>
            <w:u w:val="single"/>
          </w:rPr>
          <w:t xml:space="preserve">18 июля 2025 года № 427</w:t>
        </w:r>
      </w:hyperlink>
      <w:r>
        <w:rPr>
          <w:rFonts w:ascii="Arial" w:cs="Arial" w:eastAsia="Arial" w:hAnsi="Arial"/>
          <w:i/>
          <w:iCs/>
          <w:sz w:val="24"/>
          <w:szCs w:val="24"/>
        </w:rPr>
        <w:t xml:space="preserve">, </w:t>
      </w:r>
      <w:hyperlink w:history="1" r:id="rIdv2hxhdal_egfzokvoaqyd">
        <w:r>
          <w:rPr>
            <w:rFonts w:ascii="Arial" w:cs="Arial" w:eastAsia="Arial" w:hAnsi="Arial"/>
            <w:i/>
            <w:iCs/>
            <w:color w:val="1D4ED8"/>
            <w:sz w:val="24"/>
            <w:szCs w:val="24"/>
            <w:u w:val="single"/>
          </w:rPr>
          <w:t xml:space="preserve">10 апреля 2026 года № 237</w:t>
        </w:r>
      </w:hyperlink>
      <w:r>
        <w:rPr>
          <w:rFonts w:ascii="Arial" w:cs="Arial" w:eastAsia="Arial" w:hAnsi="Arial"/>
          <w:i/>
          <w:iCs/>
          <w:sz w:val="24"/>
          <w:szCs w:val="24"/>
        </w:rPr>
        <w:t xml:space="preserve">,  </w:t>
      </w:r>
      <w:hyperlink w:history="1" r:id="rId7mdrqeqk6-u2kdp33pfcp">
        <w:r>
          <w:rPr>
            <w:rFonts w:ascii="Arial" w:cs="Arial" w:eastAsia="Arial" w:hAnsi="Arial"/>
            <w:i/>
            <w:iCs/>
            <w:color w:val="1D4ED8"/>
            <w:sz w:val="24"/>
            <w:szCs w:val="24"/>
            <w:u w:val="single"/>
          </w:rPr>
          <w:t xml:space="preserve">28 апреля 2026 года № 297 </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Среднесрочная тарифная политика Кыргызской Республики на электрическую энергию на 2025-2030 годы (далее - ССТП) разработана в целях сохранения доступности использования электрической энергии для потребителей.</w:t>
      </w:r>
    </w:p>
    <w:p>
      <w:pPr>
        <w:spacing w:after="60"/>
        <w:ind w:firstLine="567"/>
        <w:jc w:val="both"/>
      </w:pPr>
      <w:r>
        <w:rPr>
          <w:rFonts w:ascii="Arial" w:cs="Arial" w:eastAsia="Arial" w:hAnsi="Arial"/>
          <w:sz w:val="24"/>
          <w:szCs w:val="24"/>
        </w:rPr>
        <w:t xml:space="preserve">Применение установленных настоящей ССТП тарифов на электрическую энергию будет стимулировать потребителей на ее эффективное и рациональное использование, внедрение мер по энергосбережению, а также использование альтернативных источников энергии для целей отопления. В этом направлении в рамках настоящего ССТП для большей части населения сохранится ежемесячный объем льготного потребления электрической энергии по социально-ориентированному тарифу.</w:t>
      </w:r>
    </w:p>
    <w:p>
      <w:pPr>
        <w:spacing w:after="60"/>
        <w:ind w:firstLine="567"/>
        <w:jc w:val="both"/>
      </w:pPr>
      <w:r>
        <w:rPr>
          <w:rFonts w:ascii="Arial" w:cs="Arial" w:eastAsia="Arial" w:hAnsi="Arial"/>
          <w:sz w:val="24"/>
          <w:szCs w:val="24"/>
        </w:rPr>
        <w:t xml:space="preserve">Настоящая ССТП основывается на следующих принципах:</w:t>
      </w:r>
    </w:p>
    <w:p>
      <w:pPr>
        <w:spacing w:after="60"/>
        <w:ind w:firstLine="567"/>
        <w:jc w:val="both"/>
      </w:pPr>
      <w:r>
        <w:rPr>
          <w:rFonts w:ascii="Arial" w:cs="Arial" w:eastAsia="Arial" w:hAnsi="Arial"/>
          <w:sz w:val="24"/>
          <w:szCs w:val="24"/>
        </w:rPr>
        <w:t xml:space="preserve">- социально-ориентированные тарифы на электрическую энергию, установленные ниже ее стоимости, должны сохраниться;</w:t>
      </w:r>
    </w:p>
    <w:p>
      <w:pPr>
        <w:spacing w:after="60"/>
        <w:ind w:firstLine="567"/>
        <w:jc w:val="both"/>
      </w:pPr>
      <w:r>
        <w:rPr>
          <w:rFonts w:ascii="Arial" w:cs="Arial" w:eastAsia="Arial" w:hAnsi="Arial"/>
          <w:sz w:val="24"/>
          <w:szCs w:val="24"/>
        </w:rPr>
        <w:t xml:space="preserve">- социально-ориентированные тарифы на электрическую энергию для населения должны применяться только в пределах гарантированного объема льготного потребления электрической энергии;</w:t>
      </w:r>
    </w:p>
    <w:p>
      <w:pPr>
        <w:spacing w:after="60"/>
        <w:ind w:firstLine="567"/>
        <w:jc w:val="both"/>
      </w:pPr>
      <w:r>
        <w:rPr>
          <w:rFonts w:ascii="Arial" w:cs="Arial" w:eastAsia="Arial" w:hAnsi="Arial"/>
          <w:sz w:val="24"/>
          <w:szCs w:val="24"/>
        </w:rPr>
        <w:t xml:space="preserve">- тарифы должны стимулировать рациональное использование электрической энергии, развитие энергосбережения и улучшение качества энергоснабжения потребителей.</w:t>
      </w:r>
    </w:p>
    <w:p>
      <w:pPr>
        <w:spacing w:after="200" w:before="200"/>
        <w:jc w:val="center"/>
      </w:pPr>
      <w:r>
        <w:rPr>
          <w:rFonts w:ascii="Arial" w:cs="Arial" w:eastAsia="Arial" w:hAnsi="Arial"/>
          <w:b/>
          <w:bCs/>
          <w:sz w:val="24"/>
          <w:szCs w:val="24"/>
        </w:rPr>
        <w:t xml:space="preserve">Глава 2. Тарифы</w:t>
      </w:r>
    </w:p>
    <w:p>
      <w:pPr>
        <w:spacing w:after="200" w:before="200"/>
        <w:jc w:val="center"/>
      </w:pPr>
      <w:r>
        <w:rPr>
          <w:rFonts w:ascii="Arial" w:cs="Arial" w:eastAsia="Arial" w:hAnsi="Arial"/>
          <w:b/>
          <w:bCs/>
          <w:sz w:val="24"/>
          <w:szCs w:val="24"/>
        </w:rPr>
        <w:t xml:space="preserve">§ 1. Население</w:t>
      </w:r>
    </w:p>
    <w:p>
      <w:pPr>
        <w:spacing w:after="60"/>
        <w:ind w:firstLine="567"/>
        <w:jc w:val="both"/>
      </w:pPr>
      <w:r>
        <w:rPr>
          <w:rFonts w:ascii="Arial" w:cs="Arial" w:eastAsia="Arial" w:hAnsi="Arial"/>
          <w:sz w:val="24"/>
          <w:szCs w:val="24"/>
        </w:rPr>
        <w:t xml:space="preserve">Во избежание внезапных экономических трудностей у населения при оплате счетов за электрическую энергию сохраняется предельный порог ежемесячного объема потребления электрической энергии в объеме 700 кВт.ч (за исключением населения, проживающего в высокогорных районах и отдаленных труднодоступных зонах). Социальная ориентированность тарифов для населения направлена на экономное расходование электрической энергии.</w:t>
      </w:r>
    </w:p>
    <w:p>
      <w:pPr>
        <w:spacing w:after="60"/>
        <w:ind w:firstLine="567"/>
        <w:jc w:val="both"/>
      </w:pPr>
      <w:r>
        <w:rPr>
          <w:rFonts w:ascii="Arial" w:cs="Arial" w:eastAsia="Arial" w:hAnsi="Arial"/>
          <w:sz w:val="24"/>
          <w:szCs w:val="24"/>
        </w:rPr>
        <w:t xml:space="preserve">Для населения в пределах ежемесячной нормы потребления тариф на электрическую энергию устанавливается в размере, указанном в подпункте 1 пункта 1 </w:t>
      </w:r>
      <w:hyperlink w:history="1" r:id="rIdhtzq8aetc-d5grtzl-yvf">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60"/>
        <w:ind w:firstLine="567"/>
        <w:jc w:val="both"/>
      </w:pPr>
      <w:r>
        <w:rPr>
          <w:rFonts w:ascii="Arial" w:cs="Arial" w:eastAsia="Arial" w:hAnsi="Arial"/>
          <w:sz w:val="24"/>
          <w:szCs w:val="24"/>
        </w:rPr>
        <w:t xml:space="preserve">Для населения, превысившего ежемесячную норму потребления, тариф на электрическую энергию устанавливается в размере, указанном в подпункте 2 пункта 1 </w:t>
      </w:r>
      <w:hyperlink w:history="1" r:id="rIddmq4fz-kwk-rei_ng2vmj">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60"/>
        <w:ind w:firstLine="567"/>
        <w:jc w:val="both"/>
      </w:pPr>
      <w:r>
        <w:rPr>
          <w:rFonts w:ascii="Arial" w:cs="Arial" w:eastAsia="Arial" w:hAnsi="Arial"/>
          <w:sz w:val="24"/>
          <w:szCs w:val="24"/>
        </w:rPr>
        <w:t xml:space="preserve">Для населения, проживающего в высокогорных районах и отдаленных труднодоступных зонах, круглый год действует социально-ориентированный тариф в размере, указанном в подпункте 3 пункта 1 </w:t>
      </w:r>
      <w:hyperlink w:history="1" r:id="rId_e21qkbmjvg0euo4ugyj3">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 на весь объем потребленной электрической энергии.</w:t>
      </w:r>
    </w:p>
    <w:p>
      <w:pPr>
        <w:spacing w:after="60"/>
        <w:ind w:firstLine="567"/>
        <w:jc w:val="both"/>
      </w:pPr>
      <w:r>
        <w:rPr>
          <w:rFonts w:ascii="Arial" w:cs="Arial" w:eastAsia="Arial" w:hAnsi="Arial"/>
          <w:sz w:val="24"/>
          <w:szCs w:val="24"/>
        </w:rPr>
        <w:t xml:space="preserve">В целях оказания адресной социальной поддержки малообеспеченным семьям, получающим ежемесячное пособие нуждающимся гражданам (семьям), имеющим детей до 16 лет, - "уй-булого комок", при потреблении в объеме до 700 кВт.ч в месяц согласно списку, представляемому Министерством труда, социального обеспечения и миграции Кыргызской Республики, тарифы на электрическую энергию устанавливаются в размере, указанном в подпункте 4 пункта 1 </w:t>
      </w:r>
      <w:hyperlink w:history="1" r:id="rIdvq7imscsut1zdqrburmyp">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 При потреблении электроэнергии свыше 700 кВт.ч в месяц тарифы на электрическую энергию устанавливается в размере, указанном в подпункте 5 пункта 1 </w:t>
      </w:r>
      <w:hyperlink w:history="1" r:id="rIdqvuqrefzluik0vvpfyfep">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60"/>
        <w:ind w:firstLine="567"/>
        <w:jc w:val="both"/>
      </w:pPr>
      <w:r>
        <w:rPr>
          <w:rFonts w:ascii="Arial" w:cs="Arial" w:eastAsia="Arial" w:hAnsi="Arial"/>
          <w:sz w:val="24"/>
          <w:szCs w:val="24"/>
        </w:rPr>
        <w:t xml:space="preserve">Для населения, желающего использовать электроэнергию без ограничения, тариф на электрическую энергию устанавливается в размере, указанном в подпункте 6 пункта 1 </w:t>
      </w:r>
      <w:hyperlink w:history="1" r:id="rIdzareznaplmy-txp9jw8ba">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200" w:before="200"/>
        <w:jc w:val="center"/>
      </w:pPr>
      <w:r>
        <w:rPr>
          <w:rFonts w:ascii="Arial" w:cs="Arial" w:eastAsia="Arial" w:hAnsi="Arial"/>
          <w:b/>
          <w:bCs/>
          <w:sz w:val="24"/>
          <w:szCs w:val="24"/>
        </w:rPr>
        <w:t xml:space="preserve">§ 2. Социальные и общественные потребители</w:t>
      </w:r>
    </w:p>
    <w:p>
      <w:pPr>
        <w:spacing w:after="60"/>
        <w:ind w:firstLine="567"/>
        <w:jc w:val="both"/>
      </w:pPr>
      <w:r>
        <w:rPr>
          <w:rFonts w:ascii="Arial" w:cs="Arial" w:eastAsia="Arial" w:hAnsi="Arial"/>
          <w:sz w:val="24"/>
          <w:szCs w:val="24"/>
        </w:rPr>
        <w:t xml:space="preserve">Для социальных и общественных потребителей тариф на электрическую энергию устанавливается в размере, указанном в пункте 2 </w:t>
      </w:r>
      <w:hyperlink w:history="1" r:id="rIdkh_iaqdyyc14snfbyjdoo">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200" w:before="200"/>
        <w:jc w:val="center"/>
      </w:pPr>
      <w:r>
        <w:rPr>
          <w:rFonts w:ascii="Arial" w:cs="Arial" w:eastAsia="Arial" w:hAnsi="Arial"/>
          <w:b/>
          <w:bCs/>
          <w:sz w:val="24"/>
          <w:szCs w:val="24"/>
        </w:rPr>
        <w:t xml:space="preserve">§ 3. Станции по зарядке электромобилей</w:t>
      </w:r>
    </w:p>
    <w:p>
      <w:pPr>
        <w:spacing w:after="60"/>
        <w:ind w:firstLine="567"/>
        <w:jc w:val="both"/>
      </w:pPr>
      <w:r>
        <w:rPr>
          <w:rFonts w:ascii="Arial" w:cs="Arial" w:eastAsia="Arial" w:hAnsi="Arial"/>
          <w:sz w:val="24"/>
          <w:szCs w:val="24"/>
        </w:rPr>
        <w:t xml:space="preserve">Для станций по зарядке электромобилей тариф на электрическую энергию устанавливается в размере, указанном в пункте 3 </w:t>
      </w:r>
      <w:hyperlink w:history="1" r:id="rIdopcf70yoxy3jtw_gfry4u">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200" w:before="200"/>
        <w:jc w:val="center"/>
      </w:pPr>
      <w:r>
        <w:rPr>
          <w:rFonts w:ascii="Arial" w:cs="Arial" w:eastAsia="Arial" w:hAnsi="Arial"/>
          <w:b/>
          <w:bCs/>
          <w:sz w:val="24"/>
          <w:szCs w:val="24"/>
        </w:rPr>
        <w:t xml:space="preserve">§ 4. Промышленные потребители</w:t>
      </w:r>
    </w:p>
    <w:p>
      <w:pPr>
        <w:spacing w:after="60"/>
        <w:ind w:firstLine="567"/>
        <w:jc w:val="both"/>
      </w:pPr>
      <w:r>
        <w:rPr>
          <w:rFonts w:ascii="Arial" w:cs="Arial" w:eastAsia="Arial" w:hAnsi="Arial"/>
          <w:sz w:val="24"/>
          <w:szCs w:val="24"/>
        </w:rPr>
        <w:t xml:space="preserve">Для промышленных потребителей тариф на электрическую энергию устанавливается в размере, указанном в пункте 4 </w:t>
      </w:r>
      <w:hyperlink w:history="1" r:id="rIdkvpjqmvwtihhg7wkqdcmx">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200" w:before="200"/>
        <w:jc w:val="center"/>
      </w:pPr>
      <w:r>
        <w:rPr>
          <w:rFonts w:ascii="Arial" w:cs="Arial" w:eastAsia="Arial" w:hAnsi="Arial"/>
          <w:b/>
          <w:bCs/>
          <w:sz w:val="24"/>
          <w:szCs w:val="24"/>
        </w:rPr>
        <w:t xml:space="preserve">§ 5. Коммерческие потребители</w:t>
      </w:r>
    </w:p>
    <w:p>
      <w:pPr>
        <w:spacing w:after="60"/>
        <w:ind w:firstLine="567"/>
        <w:jc w:val="both"/>
      </w:pPr>
      <w:r>
        <w:rPr>
          <w:rFonts w:ascii="Arial" w:cs="Arial" w:eastAsia="Arial" w:hAnsi="Arial"/>
          <w:sz w:val="24"/>
          <w:szCs w:val="24"/>
        </w:rPr>
        <w:t xml:space="preserve">Для коммерческих потребителей тариф на электрическую энергию устанавливается в размере, указанном в пункте 5 </w:t>
      </w:r>
      <w:hyperlink w:history="1" r:id="rId5bkw_vgw_hobj43ykeqqm">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200" w:before="200"/>
        <w:jc w:val="center"/>
      </w:pPr>
      <w:r>
        <w:rPr>
          <w:rFonts w:ascii="Arial" w:cs="Arial" w:eastAsia="Arial" w:hAnsi="Arial"/>
          <w:b/>
          <w:bCs/>
          <w:sz w:val="24"/>
          <w:szCs w:val="24"/>
        </w:rPr>
        <w:t xml:space="preserve">§ 6. Бюджетные потребители</w:t>
      </w:r>
    </w:p>
    <w:p>
      <w:pPr>
        <w:spacing w:after="60"/>
        <w:ind w:firstLine="567"/>
        <w:jc w:val="both"/>
      </w:pPr>
      <w:r>
        <w:rPr>
          <w:rFonts w:ascii="Arial" w:cs="Arial" w:eastAsia="Arial" w:hAnsi="Arial"/>
          <w:sz w:val="24"/>
          <w:szCs w:val="24"/>
        </w:rPr>
        <w:t xml:space="preserve">Для бюджетных (все государственные и муниципальные учреждения, финансируемые из республиканского/местного бюджетов) потребителей тариф на электрическую энергию устанавливается в размере, указанном в пункте 6 </w:t>
      </w:r>
      <w:hyperlink w:history="1" r:id="rIddd0yd38koaoqi1ipx7pul">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200" w:before="200"/>
        <w:jc w:val="center"/>
      </w:pPr>
      <w:r>
        <w:rPr>
          <w:rFonts w:ascii="Arial" w:cs="Arial" w:eastAsia="Arial" w:hAnsi="Arial"/>
          <w:b/>
          <w:bCs/>
          <w:sz w:val="24"/>
          <w:szCs w:val="24"/>
        </w:rPr>
        <w:t xml:space="preserve">§ 7. Энергоемкие потребители</w:t>
      </w:r>
    </w:p>
    <w:p>
      <w:pPr>
        <w:spacing w:after="60"/>
        <w:ind w:firstLine="567"/>
        <w:jc w:val="both"/>
      </w:pPr>
      <w:r>
        <w:rPr>
          <w:rFonts w:ascii="Arial" w:cs="Arial" w:eastAsia="Arial" w:hAnsi="Arial"/>
          <w:sz w:val="24"/>
          <w:szCs w:val="24"/>
        </w:rPr>
        <w:t xml:space="preserve">Для энергоемких потребителей тариф на электрическую энергию устанавливается в размере, указанном в пункте 7 </w:t>
      </w:r>
      <w:hyperlink w:history="1" r:id="rIdbk3ybyf2hlhv_4qhefrib">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200" w:before="200"/>
        <w:jc w:val="center"/>
      </w:pPr>
      <w:r>
        <w:rPr>
          <w:rFonts w:ascii="Arial" w:cs="Arial" w:eastAsia="Arial" w:hAnsi="Arial"/>
          <w:b/>
          <w:bCs/>
          <w:sz w:val="24"/>
          <w:szCs w:val="24"/>
        </w:rPr>
        <w:t xml:space="preserve">§ 8. Возобновляемые источники энергии</w:t>
      </w:r>
    </w:p>
    <w:p>
      <w:pPr>
        <w:spacing w:after="60"/>
        <w:ind w:firstLine="567"/>
        <w:jc w:val="both"/>
      </w:pPr>
      <w:r>
        <w:rPr>
          <w:rFonts w:ascii="Arial" w:cs="Arial" w:eastAsia="Arial" w:hAnsi="Arial"/>
          <w:sz w:val="24"/>
          <w:szCs w:val="24"/>
        </w:rPr>
        <w:t xml:space="preserve">Тариф для производителей электрической энергии, вырабатываемой с использованием возобновляемых источников энергии, устанавливается согласно </w:t>
      </w:r>
      <w:hyperlink w:history="1" r:id="rIdoth0pseaeqxfswib0kltp">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ССТП.</w:t>
      </w:r>
    </w:p>
    <w:p>
      <w:pPr>
        <w:spacing w:after="200" w:before="200"/>
        <w:jc w:val="center"/>
      </w:pPr>
      <w:r>
        <w:rPr>
          <w:rFonts w:ascii="Arial" w:cs="Arial" w:eastAsia="Arial" w:hAnsi="Arial"/>
          <w:b/>
          <w:bCs/>
          <w:sz w:val="24"/>
          <w:szCs w:val="24"/>
        </w:rPr>
        <w:t xml:space="preserve">Глава 3. Заключение</w:t>
      </w:r>
    </w:p>
    <w:p>
      <w:pPr>
        <w:spacing w:after="60"/>
        <w:ind w:firstLine="567"/>
        <w:jc w:val="both"/>
      </w:pPr>
      <w:r>
        <w:rPr>
          <w:rFonts w:ascii="Arial" w:cs="Arial" w:eastAsia="Arial" w:hAnsi="Arial"/>
          <w:sz w:val="24"/>
          <w:szCs w:val="24"/>
        </w:rPr>
        <w:t xml:space="preserve">Тарифы на электрическую энергию на каждый расчетный год будут корректироваться согласно приложениям </w:t>
      </w:r>
      <w:hyperlink w:history="1" r:id="rIdkyx_3_-bwtjcalihpfgyj">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fhp5nljoq89q4zprpi8_a">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ССТП. Применение установленных тарифов на электрическую энергию осуществляется в течение срока, предусмотренного сроком реализации настоящего ССТП.</w:t>
      </w:r>
    </w:p>
    <w:p>
      <w:pPr>
        <w:spacing w:after="60"/>
        <w:ind w:firstLine="567"/>
        <w:jc w:val="both"/>
      </w:pPr>
      <w:r>
        <w:rPr>
          <w:rFonts w:ascii="Arial" w:cs="Arial" w:eastAsia="Arial" w:hAnsi="Arial"/>
          <w:sz w:val="24"/>
          <w:szCs w:val="24"/>
        </w:rPr>
        <w:t xml:space="preserve">Для правильного и своевременного применения тарифов, устанавливаемых для указанных групп, в целях исключения их неверного толкования энергоснабжающими организациями и потребителями электрической энергии применение тарифов на электрическую энергию производится согласно </w:t>
      </w:r>
      <w:hyperlink w:history="1" r:id="rIdqqgp2liivs8xesbsvcbb8">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ССТП.</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Среднесрочной тарифной политике Кыргызской Республики на электрическую энергию на 2025-2030 годы</w:t>
      </w:r>
    </w:p>
    <w:p>
      <w:pPr>
        <w:spacing w:after="400" w:before="400"/>
        <w:jc w:val="center"/>
      </w:pPr>
      <w:r>
        <w:rPr>
          <w:rFonts w:ascii="Arial" w:cs="Arial" w:eastAsia="Arial" w:hAnsi="Arial"/>
          <w:b/>
          <w:bCs/>
          <w:sz w:val="24"/>
          <w:szCs w:val="24"/>
        </w:rPr>
        <w:t xml:space="preserve">ТАРИФЫ</w:t>
      </w:r>
      <w:r>
        <w:rPr>
          <w:rFonts w:ascii="Arial" w:cs="Arial" w:eastAsia="Arial" w:hAnsi="Arial"/>
          <w:b/>
          <w:bCs/>
          <w:sz w:val="24"/>
          <w:szCs w:val="24"/>
        </w:rPr>
        <w:t xml:space="preserve">на электроэнергию для конечных потребителей (за исключением групп потребителей "Население" и "Насосные станции" Токтогульского района Джалал-Абадской области Кыргызской Республики) (без учета налогов)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_oztnhbtnfwa_isujvrw">
        <w:r>
          <w:rPr>
            <w:rFonts w:ascii="Arial" w:cs="Arial" w:eastAsia="Arial" w:hAnsi="Arial"/>
            <w:i/>
            <w:iCs/>
            <w:color w:val="1D4ED8"/>
            <w:sz w:val="24"/>
            <w:szCs w:val="24"/>
            <w:u w:val="single"/>
          </w:rPr>
          <w:t xml:space="preserve">18 июля 2025 года № 427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
        <w:gridCol w:w="4028"/>
        <w:gridCol w:w="629"/>
        <w:gridCol w:w="468"/>
        <w:gridCol w:w="961"/>
        <w:gridCol w:w="961"/>
        <w:gridCol w:w="961"/>
        <w:gridCol w:w="961"/>
        <w:gridCol w:w="961"/>
      </w:tblGrid>
      <w:tr>
        <w:tc>
          <w:tcPr>
            <w:tcW w:type="dxa" w:w="2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Группы потребителей</w:t>
            </w:r>
          </w:p>
        </w:tc>
        <w:tc>
          <w:tcPr>
            <w:tcW w:type="dxa" w:w="6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4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w:t>
            </w:r>
          </w:p>
        </w:tc>
        <w:tc>
          <w:tcPr>
            <w:tcW w:type="dxa" w:w="9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01.05.2026 г.</w:t>
            </w:r>
          </w:p>
        </w:tc>
        <w:tc>
          <w:tcPr>
            <w:tcW w:type="dxa" w:w="9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01.05.2027 г.</w:t>
            </w:r>
          </w:p>
        </w:tc>
        <w:tc>
          <w:tcPr>
            <w:tcW w:type="dxa" w:w="9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01.05.2028 г.</w:t>
            </w:r>
          </w:p>
        </w:tc>
        <w:tc>
          <w:tcPr>
            <w:tcW w:type="dxa" w:w="9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01.05.2029 г.</w:t>
            </w:r>
          </w:p>
        </w:tc>
        <w:tc>
          <w:tcPr>
            <w:tcW w:type="dxa" w:w="9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01.05.2030 г.</w:t>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в том числе:</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потреблении до 700 кВт.ч в месяц</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при потреблении свыше 700 кВт.ч в месяц</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население, проживающее в высокогорных и отдаленных труднодоступных зонах</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малообеспеченные семьи, получающие ежемесячное пособие нуждающимся гражданам (семьям), имеющим детей до 16 лет, - "уй-булого комок", при потреблении до 700 кВт.ч в месяц</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малообеспеченные семьи, получающие ежемесячное пособие нуждающимся гражданам (семьям), имеющим детей до 16 лет, - "уй-булого комок", при потреблении свыше 700 кВт.ч в месяц</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население, неограниченный</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и общественные потребители</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по зарядке электромобилей</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потребители</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Коммерческие потребители</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потребители</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Энергоемкие потребители</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Среднесрочной тарифной политике Кыргызской Республики на электрическую энергию на 2025-2030 годы</w:t>
      </w:r>
    </w:p>
    <w:p>
      <w:pPr>
        <w:spacing w:after="400" w:before="400"/>
        <w:jc w:val="center"/>
      </w:pPr>
      <w:r>
        <w:rPr>
          <w:rFonts w:ascii="Arial" w:cs="Arial" w:eastAsia="Arial" w:hAnsi="Arial"/>
          <w:b/>
          <w:bCs/>
          <w:sz w:val="32"/>
          <w:szCs w:val="32"/>
        </w:rPr>
        <w:t xml:space="preserve">ТАРИФЫ
 на электроэнергию для групп потребителей "Население" и "Насосные станции" Токтогульского района Джалал-Абадской области и села Жазы-Кечуу г.Кара-Куль и г.Кара-Куль (без учета налогов)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
        <w:gridCol w:w="3398"/>
        <w:gridCol w:w="592"/>
        <w:gridCol w:w="905"/>
        <w:gridCol w:w="1009"/>
        <w:gridCol w:w="1009"/>
        <w:gridCol w:w="1009"/>
        <w:gridCol w:w="1009"/>
        <w:gridCol w:w="1009"/>
      </w:tblGrid>
      <w:tr>
        <w:tc>
          <w:tcPr>
            <w:tcW w:type="dxa" w:w="2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Группы потребителей</w:t>
            </w:r>
          </w:p>
        </w:tc>
        <w:tc>
          <w:tcPr>
            <w:tcW w:type="dxa" w:w="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9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w:t>
            </w:r>
          </w:p>
        </w:tc>
        <w:tc>
          <w:tcPr>
            <w:tcW w:type="dxa" w:w="1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01.05.2026 г.</w:t>
            </w:r>
          </w:p>
        </w:tc>
        <w:tc>
          <w:tcPr>
            <w:tcW w:type="dxa" w:w="1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01.05.2027 г.</w:t>
            </w:r>
          </w:p>
        </w:tc>
        <w:tc>
          <w:tcPr>
            <w:tcW w:type="dxa" w:w="1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01.05.2028 г.</w:t>
            </w:r>
          </w:p>
        </w:tc>
        <w:tc>
          <w:tcPr>
            <w:tcW w:type="dxa" w:w="1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01.05.2029 г.</w:t>
            </w:r>
          </w:p>
        </w:tc>
        <w:tc>
          <w:tcPr>
            <w:tcW w:type="dxa" w:w="1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01.05.2030 г.</w:t>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в том числе:</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потреблении до 150 кВт.ч в месяц</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r>
      <w:tr>
        <w:tc>
          <w:tcPr>
            <w:vMerge w:val="continue"/>
            <w:tcBorders>
              <w:top w:val="none" w:color="auto" w:sz="0"/>
              <w:left w:val="single" w:color="CBBF9E" w:sz="4"/>
              <w:bottom w:val="single" w:color="CBBF9E" w:sz="4"/>
              <w:right w:val="single" w:color="CBBF9E" w:sz="4"/>
            </w:tcBorders>
          </w:tcP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при потреблении свыше 150 кВт.ч до 700 кВт.ч в месяц</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vMerge w:val="continue"/>
            <w:tcBorders>
              <w:top w:val="none" w:color="auto" w:sz="0"/>
              <w:left w:val="single" w:color="CBBF9E" w:sz="4"/>
              <w:bottom w:val="single" w:color="CBBF9E" w:sz="4"/>
              <w:right w:val="single" w:color="CBBF9E" w:sz="4"/>
            </w:tcBorders>
          </w:tcP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2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при потреблении свыше 700 кВт.ч в месяц</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r>
      <w:tr>
        <w:tc>
          <w:tcPr>
            <w:vMerge w:val="continue"/>
            <w:tcBorders>
              <w:top w:val="none" w:color="auto" w:sz="0"/>
              <w:left w:val="single" w:color="CBBF9E" w:sz="4"/>
              <w:bottom w:val="single" w:color="CBBF9E" w:sz="4"/>
              <w:right w:val="single" w:color="CBBF9E" w:sz="4"/>
            </w:tcBorders>
          </w:tcP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r>
      <w:tr>
        <w:tc>
          <w:tcPr>
            <w:tcW w:type="dxa" w:w="2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население, проживающее в высокогорных и отдаленных труднодоступных зонах</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vMerge w:val="continue"/>
            <w:tcBorders>
              <w:top w:val="none" w:color="auto" w:sz="0"/>
              <w:left w:val="single" w:color="CBBF9E" w:sz="4"/>
              <w:bottom w:val="single" w:color="CBBF9E" w:sz="4"/>
              <w:right w:val="single" w:color="CBBF9E" w:sz="4"/>
            </w:tcBorders>
          </w:tcP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2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малообеспеченные семьи, получающие ежемесячное пособие нуждающимся гражданам (семьям), имеющим детей до 16 лет, - "уй-булого комок", при потреблении свыше 150 кВт.ч до 700 кВт.ч в месяц</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r>
      <w:tr>
        <w:tc>
          <w:tcPr>
            <w:vMerge w:val="continue"/>
            <w:tcBorders>
              <w:top w:val="none" w:color="auto" w:sz="0"/>
              <w:left w:val="single" w:color="CBBF9E" w:sz="4"/>
              <w:bottom w:val="single" w:color="CBBF9E" w:sz="4"/>
              <w:right w:val="single" w:color="CBBF9E" w:sz="4"/>
            </w:tcBorders>
          </w:tcP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население, неограниченный</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r>
      <w:tr>
        <w:tc>
          <w:tcPr>
            <w:vMerge w:val="continue"/>
            <w:tcBorders>
              <w:top w:val="none" w:color="auto" w:sz="0"/>
              <w:left w:val="single" w:color="CBBF9E" w:sz="4"/>
              <w:bottom w:val="single" w:color="CBBF9E" w:sz="4"/>
              <w:right w:val="single" w:color="CBBF9E" w:sz="4"/>
            </w:tcBorders>
          </w:tcP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и общественные потребители</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В соответствии со </w:t>
      </w:r>
      <w:hyperlink w:history="1" r:id="rIdsxu3xjktg88v816i6sjrp">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Закона Кыргызской Республики "О компенсации ущерба от строительства Токтогульской ГЭС и водохранилища на территории Токтогульского района и села Жазы-Кечуу города Кара-Куль Джалал-Абадской области" оплата за электроэнергию, потребляемую населением, насосными станциями Токтогульского района и села Жазы-Кечуу города Кара-Куль Джалал-Абадской области, осуществляется по себестоимости электроэнергии, вырабатываемой Токтогульской ГЭС, с учетом норм потребления, установленных Кабинетом Министров Кыргызской Республики.</w:t>
      </w:r>
    </w:p>
    <w:p>
      <w:pPr>
        <w:spacing w:after="60"/>
        <w:ind w:firstLine="567"/>
        <w:jc w:val="both"/>
      </w:pPr>
      <w:r>
        <w:rPr>
          <w:rFonts w:ascii="Arial" w:cs="Arial" w:eastAsia="Arial" w:hAnsi="Arial"/>
          <w:sz w:val="24"/>
          <w:szCs w:val="24"/>
        </w:rPr>
        <w:t xml:space="preserve">В целях исключения накладки льгот компенсация при оплате за электрическую энергию в размере 50%, установленная в соответствии с </w:t>
      </w:r>
      <w:hyperlink w:history="1" r:id="rIdbb3e0lbez7srejxbvm4g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дополнительных мерах государственной поддержки лиц, проживающих в тяжелых, неблагоприятных природно-климатических условиях высокогорья и отдаленных труднодоступных зонах" от 2 апреля 2010 года № 206, применяется на тариф, указанный в подпункте 2 пункта 1 настоящего приложения.</w:t>
      </w:r>
    </w:p>
    <w:p>
      <w:pPr>
        <w:spacing w:after="60"/>
        <w:ind w:firstLine="567"/>
        <w:jc w:val="both"/>
      </w:pPr>
      <w:r>
        <w:rPr>
          <w:rFonts w:ascii="Arial" w:cs="Arial" w:eastAsia="Arial" w:hAnsi="Arial"/>
          <w:sz w:val="24"/>
          <w:szCs w:val="24"/>
        </w:rPr>
        <w:t xml:space="preserve">2. Тарифы, указанные в пункте 2 настоящего приложения, применяются только для насосных станций.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Среднесрочной тарифной политике Кыргызской Республики на электрическую энергию на 2025-2030 годы</w:t>
      </w:r>
    </w:p>
    <w:p>
      <w:pPr>
        <w:spacing w:after="400" w:before="400"/>
        <w:jc w:val="center"/>
      </w:pPr>
      <w:r>
        <w:rPr>
          <w:rFonts w:ascii="Arial" w:cs="Arial" w:eastAsia="Arial" w:hAnsi="Arial"/>
          <w:b/>
          <w:bCs/>
          <w:sz w:val="32"/>
          <w:szCs w:val="32"/>
        </w:rPr>
        <w:t xml:space="preserve">ПРЕДЕЛЬНЫЙ УРОВЕНЬ ТАРИФА
 для производителей электрической энергии, вырабатываемой с использованием возобновляемых источников 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
        <w:gridCol w:w="2802"/>
        <w:gridCol w:w="901"/>
        <w:gridCol w:w="659"/>
        <w:gridCol w:w="1097"/>
        <w:gridCol w:w="1097"/>
        <w:gridCol w:w="1097"/>
        <w:gridCol w:w="1097"/>
        <w:gridCol w:w="1097"/>
      </w:tblGrid>
      <w:tr>
        <w:tc>
          <w:tcPr>
            <w:tcW w:type="dxa" w:w="3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Группы потребителей</w:t>
            </w:r>
          </w:p>
        </w:tc>
        <w:tc>
          <w:tcPr>
            <w:tcW w:type="dxa" w:w="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01.05.2026 г.</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01.05.2027 г.</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01.05.2028 г.</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01.05.2029 г.</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01.05.2030 г.</w:t>
            </w:r>
          </w:p>
        </w:tc>
      </w:tr>
      <w:tr>
        <w:tc>
          <w:tcPr>
            <w:tcW w:type="dxa" w:w="3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Возобновляемые источники энергии</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bl>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Среднесрочной тарифной политике Кыргызской Республики на электрическую энергию на 2025-2030 годы</w:t>
      </w:r>
    </w:p>
    <w:p>
      <w:pPr>
        <w:spacing w:after="400" w:before="400"/>
        <w:jc w:val="center"/>
      </w:pPr>
      <w:r>
        <w:rPr>
          <w:rFonts w:ascii="Arial" w:cs="Arial" w:eastAsia="Arial" w:hAnsi="Arial"/>
          <w:b/>
          <w:bCs/>
          <w:sz w:val="32"/>
          <w:szCs w:val="32"/>
        </w:rPr>
        <w:t xml:space="preserve">ИНСТРУКЦИЯ
 по применению тарифов на электрическую энергию</w:t>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tvpee18haavvemua3zngz">
        <w:r>
          <w:rPr>
            <w:rFonts w:ascii="Arial" w:cs="Arial" w:eastAsia="Arial" w:hAnsi="Arial"/>
            <w:i/>
            <w:iCs/>
            <w:color w:val="1D4ED8"/>
            <w:sz w:val="24"/>
            <w:szCs w:val="24"/>
            <w:u w:val="single"/>
          </w:rPr>
          <w:t xml:space="preserve">18 июля 2025 года № 427</w:t>
        </w:r>
      </w:hyperlink>
      <w:r>
        <w:rPr>
          <w:rFonts w:ascii="Arial" w:cs="Arial" w:eastAsia="Arial" w:hAnsi="Arial"/>
          <w:i/>
          <w:iCs/>
          <w:sz w:val="24"/>
          <w:szCs w:val="24"/>
        </w:rPr>
        <w:t xml:space="preserve">, </w:t>
      </w:r>
      <w:hyperlink w:history="1" r:id="rIdmnddbykd_bdiazr7l1okj">
        <w:r>
          <w:rPr>
            <w:rFonts w:ascii="Arial" w:cs="Arial" w:eastAsia="Arial" w:hAnsi="Arial"/>
            <w:i/>
            <w:iCs/>
            <w:color w:val="1D4ED8"/>
            <w:sz w:val="24"/>
            <w:szCs w:val="24"/>
            <w:u w:val="single"/>
          </w:rPr>
          <w:t xml:space="preserve">10 апреля 2026 года № 237</w:t>
        </w:r>
      </w:hyperlink>
      <w:r>
        <w:rPr>
          <w:rFonts w:ascii="Arial" w:cs="Arial" w:eastAsia="Arial" w:hAnsi="Arial"/>
          <w:i/>
          <w:iCs/>
          <w:sz w:val="24"/>
          <w:szCs w:val="24"/>
        </w:rPr>
        <w:t xml:space="preserve">,  </w:t>
      </w:r>
      <w:hyperlink w:history="1" r:id="rIdisd-st-bjcblqwi_j_wh6">
        <w:r>
          <w:rPr>
            <w:rFonts w:ascii="Arial" w:cs="Arial" w:eastAsia="Arial" w:hAnsi="Arial"/>
            <w:i/>
            <w:iCs/>
            <w:color w:val="1D4ED8"/>
            <w:sz w:val="24"/>
            <w:szCs w:val="24"/>
            <w:u w:val="single"/>
          </w:rPr>
          <w:t xml:space="preserve">28 апреля 2026 года № 297 </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Инструкция по применению тарифов на электрическую энергию (далее - Инструкция) определяет порядок применения тарифов на электрическую энергию, утвержденных к применению в рамках реализации Среднесрочной тарифной политики на электрическую энергию (далее - ССТП), а также определяет перечень потребителей, к которым применяются установленные тарифы.</w:t>
      </w:r>
    </w:p>
    <w:p>
      <w:pPr>
        <w:spacing w:after="200" w:before="200"/>
        <w:jc w:val="center"/>
      </w:pPr>
      <w:r>
        <w:rPr>
          <w:rFonts w:ascii="Arial" w:cs="Arial" w:eastAsia="Arial" w:hAnsi="Arial"/>
          <w:b/>
          <w:bCs/>
          <w:sz w:val="32"/>
          <w:szCs w:val="32"/>
        </w:rPr>
        <w:t xml:space="preserve">Глава 2. Сфера применения тарифов</w:t>
      </w:r>
    </w:p>
    <w:p>
      <w:pPr>
        <w:spacing w:after="60"/>
        <w:ind w:firstLine="567"/>
        <w:jc w:val="both"/>
      </w:pPr>
      <w:r>
        <w:rPr>
          <w:rFonts w:ascii="Arial" w:cs="Arial" w:eastAsia="Arial" w:hAnsi="Arial"/>
          <w:sz w:val="24"/>
          <w:szCs w:val="24"/>
        </w:rPr>
        <w:t xml:space="preserve">2. Порядок применения тарифов, устанавливаемый настоящей Инструкцией, распространяется на электрическую энергию, вырабатываемую, передаваемую, распределяемую и отпускаемую конечным потребителям электроснабжающими организациями на всей территории Кыргызской Республики.</w:t>
      </w:r>
    </w:p>
    <w:p>
      <w:pPr>
        <w:spacing w:after="60"/>
        <w:ind w:firstLine="567"/>
        <w:jc w:val="both"/>
      </w:pPr>
      <w:r>
        <w:rPr>
          <w:rFonts w:ascii="Arial" w:cs="Arial" w:eastAsia="Arial" w:hAnsi="Arial"/>
          <w:sz w:val="24"/>
          <w:szCs w:val="24"/>
        </w:rPr>
        <w:t xml:space="preserve">3. Электроснабжающая организация устанавливает тарифную группу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60"/>
        <w:ind w:firstLine="567"/>
        <w:jc w:val="both"/>
      </w:pPr>
      <w:r>
        <w:rPr>
          <w:rFonts w:ascii="Arial" w:cs="Arial" w:eastAsia="Arial" w:hAnsi="Arial"/>
          <w:sz w:val="24"/>
          <w:szCs w:val="24"/>
        </w:rPr>
        <w:t xml:space="preserve">Перечень предоставляемых документов определяется электроснабжающей организацией.</w:t>
      </w:r>
    </w:p>
    <w:p>
      <w:pPr>
        <w:spacing w:after="60"/>
        <w:ind w:firstLine="567"/>
        <w:jc w:val="both"/>
      </w:pPr>
      <w:r>
        <w:rPr>
          <w:rFonts w:ascii="Arial" w:cs="Arial" w:eastAsia="Arial" w:hAnsi="Arial"/>
          <w:sz w:val="24"/>
          <w:szCs w:val="24"/>
        </w:rPr>
        <w:t xml:space="preserve">4. Электроснабжающая организация применяет тарифную группу потребителей - "Население", малообеспеченные семьи, получающие ежемесячное пособие нуждающимся гражданам (семьям), имеющим детей до 16 лет, - "уй-булого комок", на основании списка, представляемого соответствующим уполномоченным государственным органом в сфере труда, социального обеспечения Кыргызской Республики.</w:t>
      </w:r>
    </w:p>
    <w:p>
      <w:pPr>
        <w:spacing w:after="200" w:before="200"/>
        <w:jc w:val="center"/>
      </w:pPr>
      <w:r>
        <w:rPr>
          <w:rFonts w:ascii="Arial" w:cs="Arial" w:eastAsia="Arial" w:hAnsi="Arial"/>
          <w:b/>
          <w:bCs/>
          <w:sz w:val="32"/>
          <w:szCs w:val="32"/>
        </w:rPr>
        <w:t xml:space="preserve">Глава 3. Виды тарифов</w:t>
      </w:r>
    </w:p>
    <w:p>
      <w:pPr>
        <w:spacing w:after="60"/>
        <w:ind w:firstLine="567"/>
        <w:jc w:val="both"/>
      </w:pPr>
      <w:r>
        <w:rPr>
          <w:rFonts w:ascii="Arial" w:cs="Arial" w:eastAsia="Arial" w:hAnsi="Arial"/>
          <w:sz w:val="24"/>
          <w:szCs w:val="24"/>
        </w:rPr>
        <w:t xml:space="preserve">5. Настоящей Инструкцией регулируется порядок применения следующих видов тарифов, при оплате одного киловатт-часа (кВт.ч) отпущенной потребителям активной электрической энергии конечным потребителям.</w:t>
      </w:r>
    </w:p>
    <w:p>
      <w:pPr>
        <w:spacing w:after="60"/>
        <w:ind w:firstLine="567"/>
        <w:jc w:val="both"/>
      </w:pPr>
      <w:r>
        <w:rPr>
          <w:rFonts w:ascii="Arial" w:cs="Arial" w:eastAsia="Arial" w:hAnsi="Arial"/>
          <w:sz w:val="24"/>
          <w:szCs w:val="24"/>
        </w:rPr>
        <w:t xml:space="preserve">6. Одноставочный тариф - это фиксированная ставка за 1 кВт.ч, которая не зависит от времени суток. Одноставочный тариф применяются электроснабжающими организациями ко всем небытовым потребителям.</w:t>
      </w:r>
    </w:p>
    <w:p>
      <w:pPr>
        <w:spacing w:after="60"/>
        <w:ind w:firstLine="567"/>
        <w:jc w:val="both"/>
      </w:pPr>
      <w:r>
        <w:rPr>
          <w:rFonts w:ascii="Arial" w:cs="Arial" w:eastAsia="Arial" w:hAnsi="Arial"/>
          <w:sz w:val="24"/>
          <w:szCs w:val="24"/>
        </w:rPr>
        <w:t xml:space="preserve">7. Тарифы, дифференцированные по времени суток, применяются электроснабжающими организациями на основании показаний зарегистрированных систем и приборов учета, позволяющих осуществлять учет электроэнергии в соответствии с режимом потребления по времени суток.</w:t>
      </w:r>
    </w:p>
    <w:p>
      <w:pPr>
        <w:spacing w:after="60"/>
        <w:ind w:firstLine="567"/>
        <w:jc w:val="both"/>
      </w:pPr>
      <w:r>
        <w:rPr>
          <w:rFonts w:ascii="Arial" w:cs="Arial" w:eastAsia="Arial" w:hAnsi="Arial"/>
          <w:sz w:val="24"/>
          <w:szCs w:val="24"/>
        </w:rPr>
        <w:t xml:space="preserve">Дифференцированный тариф определяет стоимость 1 кВт.ч активной энергии, потребленной в соответствии с установленным для каждого временного периода суток коэффициентом.</w:t>
      </w:r>
    </w:p>
    <w:p>
      <w:pPr>
        <w:spacing w:after="60"/>
        <w:ind w:firstLine="567"/>
        <w:jc w:val="both"/>
      </w:pPr>
      <w:r>
        <w:rPr>
          <w:rFonts w:ascii="Arial" w:cs="Arial" w:eastAsia="Arial" w:hAnsi="Arial"/>
          <w:sz w:val="24"/>
          <w:szCs w:val="24"/>
        </w:rPr>
        <w:t xml:space="preserve">Назначение тарифа, дифференцированного по времени суток, - выравнивание суточного графика нагрузки энергосистемы.</w:t>
      </w:r>
    </w:p>
    <w:p>
      <w:pPr>
        <w:spacing w:after="120"/>
        <w:ind w:firstLine="567"/>
        <w:jc w:val="both"/>
      </w:pPr>
      <w:r>
        <w:rPr>
          <w:rFonts w:ascii="Arial" w:cs="Arial" w:eastAsia="Arial" w:hAnsi="Arial"/>
          <w:sz w:val="24"/>
          <w:szCs w:val="24"/>
        </w:rPr>
        <w:t xml:space="preserve">8. Тарифы на электроэнергию, дифференцированные по времени суток, применяются электроснабжающими организациями для потребителей групп "Население", "Станции по зарядке электромобилей", "Промышленные потребители" и "Коммерческие потребители", имеющих зарегистрированные системы и приборы автоматизированной информационно-измерительной системы коммерческого учета электроэнергии (АИИСКУЭ), позволяющие осуществлять учет электроэнергии в соответствии с режимом потребления по времени суток.</w:t>
      </w:r>
    </w:p>
    <w:p>
      <w:pPr>
        <w:spacing w:after="120"/>
        <w:ind w:firstLine="567"/>
        <w:jc w:val="both"/>
      </w:pPr>
      <w:r>
        <w:rPr>
          <w:rFonts w:ascii="Arial" w:cs="Arial" w:eastAsia="Arial" w:hAnsi="Arial"/>
          <w:sz w:val="24"/>
          <w:szCs w:val="24"/>
        </w:rPr>
        <w:t xml:space="preserve">9. При наличии технической возможности у электроснабжающей организации потребитель (абонент) имеет право заключить с ней договор о применении дифференцированного тарифа на весь объем потребляемой электроэнергии при выполнении следующих условий:</w:t>
      </w:r>
    </w:p>
    <w:p>
      <w:pPr>
        <w:spacing w:after="120"/>
        <w:ind w:firstLine="567"/>
        <w:jc w:val="both"/>
      </w:pPr>
      <w:r>
        <w:rPr>
          <w:rFonts w:ascii="Arial" w:cs="Arial" w:eastAsia="Arial" w:hAnsi="Arial"/>
          <w:sz w:val="24"/>
          <w:szCs w:val="24"/>
        </w:rPr>
        <w:t xml:space="preserve">1) плата за весь объем потребленной электроэнергии для группы потребителей: "Станции по зарядке электромобилей", "Промышленные потребители" и "Коммерческие потребители" начисляется по действующему в данный период времени тарифу. Для группы потребителей "Население" по тарифу, установленному при потреблении свыше 700 кВт.ч в месяц с 1-го кВтч потребления, без применения тарифа, установленного для объема потребления до 700 кВт.ч в месяц;</w:t>
      </w:r>
    </w:p>
    <w:p>
      <w:pPr>
        <w:spacing w:after="120"/>
        <w:ind w:firstLine="567"/>
        <w:jc w:val="both"/>
      </w:pPr>
      <w:r>
        <w:rPr>
          <w:rFonts w:ascii="Arial" w:cs="Arial" w:eastAsia="Arial" w:hAnsi="Arial"/>
          <w:sz w:val="24"/>
          <w:szCs w:val="24"/>
        </w:rPr>
        <w:t xml:space="preserve">2) потребитель обязуется оплачивать весь потребленный объем электроэнергии по указанным выше тарифам с применением установленных для каждого временного периода суток коэффициентов:</w:t>
      </w:r>
    </w:p>
    <w:p>
      <w:pPr>
        <w:spacing w:after="120"/>
        <w:ind w:firstLine="567"/>
        <w:jc w:val="both"/>
      </w:pPr>
      <w:r>
        <w:rPr>
          <w:rFonts w:ascii="Arial" w:cs="Arial" w:eastAsia="Arial" w:hAnsi="Arial"/>
          <w:sz w:val="24"/>
          <w:szCs w:val="24"/>
        </w:rPr>
        <w:t xml:space="preserve">- коэффициент для ночной зоны (с 00:00 до 06:00) - 0,75;</w:t>
      </w:r>
    </w:p>
    <w:p>
      <w:pPr>
        <w:spacing w:after="120"/>
        <w:ind w:firstLine="567"/>
        <w:jc w:val="both"/>
      </w:pPr>
      <w:r>
        <w:rPr>
          <w:rFonts w:ascii="Arial" w:cs="Arial" w:eastAsia="Arial" w:hAnsi="Arial"/>
          <w:sz w:val="24"/>
          <w:szCs w:val="24"/>
        </w:rPr>
        <w:t xml:space="preserve">- коэффициент для дневной зоны (с 09:00 до 18:00 и с 21:00 до 00:00) - 1,0;</w:t>
      </w:r>
    </w:p>
    <w:p>
      <w:pPr>
        <w:spacing w:after="120"/>
        <w:ind w:firstLine="567"/>
        <w:jc w:val="both"/>
      </w:pPr>
      <w:r>
        <w:rPr>
          <w:rFonts w:ascii="Arial" w:cs="Arial" w:eastAsia="Arial" w:hAnsi="Arial"/>
          <w:sz w:val="24"/>
          <w:szCs w:val="24"/>
        </w:rPr>
        <w:t xml:space="preserve">- коэффициент в часы максимума (с 06:00 до 09:00 и с 18:00 до 21:00) - 1,5.</w:t>
      </w:r>
    </w:p>
    <w:p>
      <w:pPr>
        <w:spacing w:after="12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4. Группы потребителей</w:t>
      </w:r>
    </w:p>
    <w:p>
      <w:pPr>
        <w:spacing w:after="60"/>
        <w:ind w:firstLine="567"/>
        <w:jc w:val="both"/>
      </w:pPr>
      <w:r>
        <w:rPr>
          <w:rFonts w:ascii="Arial" w:cs="Arial" w:eastAsia="Arial" w:hAnsi="Arial"/>
          <w:sz w:val="24"/>
          <w:szCs w:val="24"/>
        </w:rPr>
        <w:t xml:space="preserve">10. Все конечные потребители электрической энергии подразделяются на 7 тарифных групп по назначению потребляемой электроэнергии:</w:t>
      </w:r>
    </w:p>
    <w:p>
      <w:pPr>
        <w:spacing w:after="60"/>
        <w:ind w:firstLine="567"/>
        <w:jc w:val="both"/>
      </w:pPr>
      <w:r>
        <w:rPr>
          <w:rFonts w:ascii="Arial" w:cs="Arial" w:eastAsia="Arial" w:hAnsi="Arial"/>
          <w:sz w:val="24"/>
          <w:szCs w:val="24"/>
        </w:rPr>
        <w:t xml:space="preserve">1) группа "Население";</w:t>
      </w:r>
    </w:p>
    <w:p>
      <w:pPr>
        <w:spacing w:after="60"/>
        <w:ind w:firstLine="567"/>
        <w:jc w:val="both"/>
      </w:pPr>
      <w:r>
        <w:rPr>
          <w:rFonts w:ascii="Arial" w:cs="Arial" w:eastAsia="Arial" w:hAnsi="Arial"/>
          <w:sz w:val="24"/>
          <w:szCs w:val="24"/>
        </w:rPr>
        <w:t xml:space="preserve">2) группа "Социальные и общественные потребители";</w:t>
      </w:r>
    </w:p>
    <w:p>
      <w:pPr>
        <w:spacing w:after="60"/>
        <w:ind w:firstLine="567"/>
        <w:jc w:val="both"/>
      </w:pPr>
      <w:r>
        <w:rPr>
          <w:rFonts w:ascii="Arial" w:cs="Arial" w:eastAsia="Arial" w:hAnsi="Arial"/>
          <w:sz w:val="24"/>
          <w:szCs w:val="24"/>
        </w:rPr>
        <w:t xml:space="preserve">3) группа "Станции по зарядке электромобилей";</w:t>
      </w:r>
    </w:p>
    <w:p>
      <w:pPr>
        <w:spacing w:after="60"/>
        <w:ind w:firstLine="567"/>
        <w:jc w:val="both"/>
      </w:pPr>
      <w:r>
        <w:rPr>
          <w:rFonts w:ascii="Arial" w:cs="Arial" w:eastAsia="Arial" w:hAnsi="Arial"/>
          <w:sz w:val="24"/>
          <w:szCs w:val="24"/>
        </w:rPr>
        <w:t xml:space="preserve">4) группа "Промышленные потребители";</w:t>
      </w:r>
    </w:p>
    <w:p>
      <w:pPr>
        <w:spacing w:after="60"/>
        <w:ind w:firstLine="567"/>
        <w:jc w:val="both"/>
      </w:pPr>
      <w:r>
        <w:rPr>
          <w:rFonts w:ascii="Arial" w:cs="Arial" w:eastAsia="Arial" w:hAnsi="Arial"/>
          <w:sz w:val="24"/>
          <w:szCs w:val="24"/>
        </w:rPr>
        <w:t xml:space="preserve">5) группа "Коммерческие потребители";</w:t>
      </w:r>
    </w:p>
    <w:p>
      <w:pPr>
        <w:spacing w:after="60"/>
        <w:ind w:firstLine="567"/>
        <w:jc w:val="both"/>
      </w:pPr>
      <w:r>
        <w:rPr>
          <w:rFonts w:ascii="Arial" w:cs="Arial" w:eastAsia="Arial" w:hAnsi="Arial"/>
          <w:sz w:val="24"/>
          <w:szCs w:val="24"/>
        </w:rPr>
        <w:t xml:space="preserve">6) группа "Бюджетные потребители" (потребители, финансируемые из республиканского и/или местного бюджетов);</w:t>
      </w:r>
    </w:p>
    <w:p>
      <w:pPr>
        <w:spacing w:after="60"/>
        <w:ind w:firstLine="567"/>
        <w:jc w:val="both"/>
      </w:pPr>
      <w:r>
        <w:rPr>
          <w:rFonts w:ascii="Arial" w:cs="Arial" w:eastAsia="Arial" w:hAnsi="Arial"/>
          <w:sz w:val="24"/>
          <w:szCs w:val="24"/>
        </w:rPr>
        <w:t xml:space="preserve">7) группа "Энергоемкие потребители".</w:t>
      </w:r>
    </w:p>
    <w:p>
      <w:pPr>
        <w:spacing w:after="60"/>
        <w:ind w:firstLine="567"/>
        <w:jc w:val="both"/>
      </w:pPr>
      <w:r>
        <w:rPr>
          <w:rFonts w:ascii="Arial" w:cs="Arial" w:eastAsia="Arial" w:hAnsi="Arial"/>
          <w:sz w:val="24"/>
          <w:szCs w:val="24"/>
        </w:rPr>
        <w:t xml:space="preserve">11. Все группы потребителей, не относящиеся к группе "Население", относятся к небытовым потребителям.</w:t>
      </w:r>
    </w:p>
    <w:p>
      <w:pPr>
        <w:spacing w:after="200" w:before="200"/>
        <w:jc w:val="center"/>
      </w:pPr>
      <w:r>
        <w:rPr>
          <w:rFonts w:ascii="Arial" w:cs="Arial" w:eastAsia="Arial" w:hAnsi="Arial"/>
          <w:b/>
          <w:bCs/>
          <w:sz w:val="32"/>
          <w:szCs w:val="32"/>
        </w:rPr>
        <w:t xml:space="preserve">Глава 5. Применение тарифов на электрическую энергию, отпускаемую группе "Население"</w:t>
      </w:r>
    </w:p>
    <w:p>
      <w:pPr>
        <w:spacing w:after="60"/>
        <w:ind w:firstLine="567"/>
        <w:jc w:val="both"/>
      </w:pPr>
      <w:r>
        <w:rPr>
          <w:rFonts w:ascii="Arial" w:cs="Arial" w:eastAsia="Arial" w:hAnsi="Arial"/>
          <w:sz w:val="24"/>
          <w:szCs w:val="24"/>
        </w:rPr>
        <w:t xml:space="preserve">12. Отпуск электрической энергии населению производится по тарифам, установленным уполномоченным государственным органом по регулированию топливно-энергетического комплекса, независимо от характера и объемов использования электрической энергии.</w:t>
      </w:r>
    </w:p>
    <w:p>
      <w:pPr>
        <w:spacing w:after="60"/>
        <w:ind w:firstLine="567"/>
        <w:jc w:val="both"/>
      </w:pPr>
      <w:r>
        <w:rPr>
          <w:rFonts w:ascii="Arial" w:cs="Arial" w:eastAsia="Arial" w:hAnsi="Arial"/>
          <w:sz w:val="24"/>
          <w:szCs w:val="24"/>
        </w:rPr>
        <w:t xml:space="preserve">13. По указанным тарифам начисляется плата за электрическую энергию, расходуемую населением, проживающим в жилых помещениях, домах и квартирах, для различных бытовых нужд, а также за электрическую энергию, отпускаемую дачным и садоводческим товариществам.</w:t>
      </w:r>
    </w:p>
    <w:p>
      <w:pPr>
        <w:spacing w:after="60"/>
        <w:ind w:firstLine="567"/>
        <w:jc w:val="both"/>
      </w:pPr>
      <w:r>
        <w:rPr>
          <w:rFonts w:ascii="Arial" w:cs="Arial" w:eastAsia="Arial" w:hAnsi="Arial"/>
          <w:sz w:val="24"/>
          <w:szCs w:val="24"/>
        </w:rPr>
        <w:t xml:space="preserve">14. По тарифам, установленным для группы потребителей "Население", также начисляется оплата потребителям, сдающим в аренду отдыхающим и временно-проживающим жилые дома и помещения (гостевые дома), на время отсутствия отдыхающих и временно-проживающих (при прекращении туристического сезона). Электроснабжающая организация должна заключить с таким абонентом контракт, в котором должна быть указана длительность сдачи жилых домов и помещений в аренду, но не более 3 месяцев. При сдаче в аренду отдыхающим и временно-проживающим жилых домов и помещений (гостевые дома) на срок более 3 месяцев плата за электроэнергию производится по тарифу, соответствующему их виду деятельности.</w:t>
      </w:r>
    </w:p>
    <w:p>
      <w:pPr>
        <w:spacing w:after="60"/>
        <w:ind w:firstLine="567"/>
        <w:jc w:val="both"/>
      </w:pPr>
      <w:r>
        <w:rPr>
          <w:rFonts w:ascii="Arial" w:cs="Arial" w:eastAsia="Arial" w:hAnsi="Arial"/>
          <w:sz w:val="24"/>
          <w:szCs w:val="24"/>
        </w:rPr>
        <w:t xml:space="preserve">При этом если снимающими в аренду жилье или временно-проживающими являются малообеспеченные семьи, получающие ежемесячное пособие нуждающимся гражданам (семьям), имеющим детей до 16 лет, - "уй-булого комок", которые не имеют договора (контракта) с электроснабжающей организацией, применяется тариф, указанный в подпункте 4 пункта 1 </w:t>
      </w:r>
      <w:hyperlink w:history="1" r:id="rId0kaqgngme91oeprwiberf">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 При этом заключение отдельного договора не требуется.</w:t>
      </w:r>
    </w:p>
    <w:p>
      <w:pPr>
        <w:spacing w:after="60"/>
        <w:ind w:firstLine="567"/>
        <w:jc w:val="both"/>
      </w:pPr>
      <w:r>
        <w:rPr>
          <w:rFonts w:ascii="Arial" w:cs="Arial" w:eastAsia="Arial" w:hAnsi="Arial"/>
          <w:sz w:val="24"/>
          <w:szCs w:val="24"/>
        </w:rPr>
        <w:t xml:space="preserve">15. Для населения действует социально-ориентированный тариф при потреблении электроэнергии в пределах гарантированного объема льготного потребления электроэнергии в месяц в размере 700 кВт.ч (за исключением населения, проживающего в высокогорных и отдаленных труднодоступных зонах). Плата за электроэнергию в пределах гарантированного объема льготного потребления рассчитывается отдельной строкой в счетах на оплату, выставленных электроснабжающей организацией потребителю.</w:t>
      </w:r>
    </w:p>
    <w:p>
      <w:pPr>
        <w:spacing w:after="60"/>
        <w:ind w:firstLine="567"/>
        <w:jc w:val="both"/>
      </w:pPr>
      <w:r>
        <w:rPr>
          <w:rFonts w:ascii="Arial" w:cs="Arial" w:eastAsia="Arial" w:hAnsi="Arial"/>
          <w:sz w:val="24"/>
          <w:szCs w:val="24"/>
        </w:rPr>
        <w:t xml:space="preserve">16. При расчетах объемов потребления электроэнергии в месяц необходимо исходить из среднесуточного потребления абонентом электроэнергии, которое составляет:</w:t>
      </w:r>
    </w:p>
    <w:p>
      <w:pPr>
        <w:spacing w:after="60"/>
        <w:ind w:firstLine="567"/>
        <w:jc w:val="both"/>
      </w:pPr>
      <w:r>
        <w:rPr>
          <w:rFonts w:ascii="Arial" w:cs="Arial" w:eastAsia="Arial" w:hAnsi="Arial"/>
          <w:sz w:val="24"/>
          <w:szCs w:val="24"/>
        </w:rPr>
        <w:t xml:space="preserve">700 кВт.ч * 12 мес. / 365 дней = 23,014 кВт.ч.</w:t>
      </w:r>
    </w:p>
    <w:p>
      <w:pPr>
        <w:spacing w:after="60"/>
        <w:ind w:firstLine="567"/>
        <w:jc w:val="both"/>
      </w:pPr>
      <w:r>
        <w:rPr>
          <w:rFonts w:ascii="Arial" w:cs="Arial" w:eastAsia="Arial" w:hAnsi="Arial"/>
          <w:sz w:val="24"/>
          <w:szCs w:val="24"/>
        </w:rPr>
        <w:t xml:space="preserve">При этом объем гарантированного лимита зависит от количества дней в месяце.</w:t>
      </w:r>
    </w:p>
    <w:p>
      <w:pPr>
        <w:spacing w:after="60"/>
        <w:ind w:firstLine="567"/>
        <w:jc w:val="both"/>
      </w:pPr>
      <w:r>
        <w:rPr>
          <w:rFonts w:ascii="Arial" w:cs="Arial" w:eastAsia="Arial" w:hAnsi="Arial"/>
          <w:sz w:val="24"/>
          <w:szCs w:val="24"/>
        </w:rPr>
        <w:t xml:space="preserve">17. Для населения, проживающего в высокогорных и отдаленных труднодоступных зонах, круглый год действует социально-ориентированный тариф на всю потребленную электрическую энергию.</w:t>
      </w:r>
    </w:p>
    <w:p>
      <w:pPr>
        <w:spacing w:after="60"/>
        <w:ind w:firstLine="567"/>
        <w:jc w:val="both"/>
      </w:pPr>
      <w:r>
        <w:rPr>
          <w:rFonts w:ascii="Arial" w:cs="Arial" w:eastAsia="Arial" w:hAnsi="Arial"/>
          <w:sz w:val="24"/>
          <w:szCs w:val="24"/>
        </w:rPr>
        <w:t xml:space="preserve">18. Тариф для групп потребителей "Население", малообеспеченные семьи, получающие ежемесячное пособие нуждающимся гражданам (семьям), имеющим детей до 16 лет, -"уй-булого комок", действует по месту жительства/пребывания этих лиц с первого числа месяца, следующего за месяцем представления соответствующих списков, и прекращается с первого числа месяца, следующего за месяцем, в котором были прекращены выплаты.</w:t>
      </w:r>
    </w:p>
    <w:p>
      <w:pPr>
        <w:spacing w:after="60"/>
        <w:ind w:firstLine="567"/>
        <w:jc w:val="both"/>
      </w:pPr>
      <w:r>
        <w:rPr>
          <w:rFonts w:ascii="Arial" w:cs="Arial" w:eastAsia="Arial" w:hAnsi="Arial"/>
          <w:sz w:val="24"/>
          <w:szCs w:val="24"/>
        </w:rPr>
        <w:t xml:space="preserve">При изменении места жительства/пребывания срок действия тарифа:</w:t>
      </w:r>
    </w:p>
    <w:p>
      <w:pPr>
        <w:spacing w:after="60"/>
        <w:ind w:firstLine="567"/>
        <w:jc w:val="both"/>
      </w:pPr>
      <w:r>
        <w:rPr>
          <w:rFonts w:ascii="Arial" w:cs="Arial" w:eastAsia="Arial" w:hAnsi="Arial"/>
          <w:sz w:val="24"/>
          <w:szCs w:val="24"/>
        </w:rPr>
        <w:t xml:space="preserve">- по последнему месту жительства прекращается с первого числа месяца, следующего за месяцем, в котором произошли такие изменения;</w:t>
      </w:r>
    </w:p>
    <w:p>
      <w:pPr>
        <w:spacing w:after="60"/>
        <w:ind w:firstLine="567"/>
        <w:jc w:val="both"/>
      </w:pPr>
      <w:r>
        <w:rPr>
          <w:rFonts w:ascii="Arial" w:cs="Arial" w:eastAsia="Arial" w:hAnsi="Arial"/>
          <w:sz w:val="24"/>
          <w:szCs w:val="24"/>
        </w:rPr>
        <w:t xml:space="preserve">- по новому месту жительства начинается с первого числа месяца, следующего за месяцем, в течение которого абонент начал проживание.</w:t>
      </w:r>
    </w:p>
    <w:p>
      <w:pPr>
        <w:spacing w:after="60"/>
        <w:ind w:firstLine="567"/>
        <w:jc w:val="both"/>
      </w:pPr>
      <w:r>
        <w:rPr>
          <w:rFonts w:ascii="Arial" w:cs="Arial" w:eastAsia="Arial" w:hAnsi="Arial"/>
          <w:sz w:val="24"/>
          <w:szCs w:val="24"/>
        </w:rPr>
        <w:t xml:space="preserve">Тариф для групп потребителей "Население", малообеспеченные семьи, получающие ежемесячное пособие нуждающимся гражданам (семьям), имеющим детей до 16 лет, - "уй-булого комок", действует по фактическому месту жительства/пребывания и не применяется в отношении двух или более адресов.</w:t>
      </w:r>
    </w:p>
    <w:p>
      <w:pPr>
        <w:spacing w:after="60"/>
        <w:ind w:firstLine="567"/>
        <w:jc w:val="both"/>
      </w:pPr>
      <w:r>
        <w:rPr>
          <w:rFonts w:ascii="Arial" w:cs="Arial" w:eastAsia="Arial" w:hAnsi="Arial"/>
          <w:sz w:val="24"/>
          <w:szCs w:val="24"/>
        </w:rPr>
        <w:t xml:space="preserve">Потребители, малообеспеченные семьи, получающие ежемесячное пособие нуждающимся гражданам (семьям), имеющим детей до 16 лет, - "уй-булого комок", не имеющие прямого договора с электроснабжающей организацией, представляют в электроснабжающую организацию лицевой счет абонента по месту жительства/пребывания.</w:t>
      </w:r>
    </w:p>
    <w:p>
      <w:pPr>
        <w:spacing w:after="60"/>
        <w:ind w:firstLine="567"/>
        <w:jc w:val="both"/>
      </w:pPr>
      <w:r>
        <w:rPr>
          <w:rFonts w:ascii="Arial" w:cs="Arial" w:eastAsia="Arial" w:hAnsi="Arial"/>
          <w:sz w:val="24"/>
          <w:szCs w:val="24"/>
        </w:rPr>
        <w:t xml:space="preserve">19. Тариф для группы потребителей "Население" Токтогульского района Джалал-Абадской области и села Жазы-Кечуу города Кара-Куль и города Кара-Куль:</w:t>
      </w:r>
    </w:p>
    <w:p>
      <w:pPr>
        <w:spacing w:after="60"/>
        <w:ind w:firstLine="567"/>
        <w:jc w:val="both"/>
      </w:pPr>
      <w:r>
        <w:rPr>
          <w:rFonts w:ascii="Arial" w:cs="Arial" w:eastAsia="Arial" w:hAnsi="Arial"/>
          <w:sz w:val="24"/>
          <w:szCs w:val="24"/>
        </w:rPr>
        <w:t xml:space="preserve">- при потреблении до 150 кВт.ч в месяц применяется в размере, указанном в подпункте 1 пункта 1 </w:t>
      </w:r>
      <w:hyperlink w:history="1" r:id="rId-_50qcpoiam_zibtk-2kc">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при потреблении электроэнергии свыше 150 кВт.ч до 700 кВт.ч в месяц (кроме населения, проживающего в высокогорных и отдаленных труднодоступных зонах, а также малообеспеченных семей, получающих ежемесячное пособие нуждающимся гражданам (семьям), имеющим детей до 16 лет, - "уй-булого комок") применяется в размере, указанном в подпункте 2 пункта 1 </w:t>
      </w:r>
      <w:hyperlink w:history="1" r:id="rIdw6qkxvx0o_z0yx7onwycq">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при потреблении электроэнергии свыше 700 кВт.ч в месяц (кроме населения, проживающего в высокогорных и отдаленных труднодоступных зонах) применяется в размере, указанном в подпункте 3 пункта 1 </w:t>
      </w:r>
      <w:hyperlink w:history="1" r:id="rIdilh6zhmxhj4urhem7vvj9">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для проживающих в высокогорных и отдаленных труднодоступных зонах применяется в размере, указанном в подпункте 4 пункта 1 </w:t>
      </w:r>
      <w:hyperlink w:history="1" r:id="rIdzwkfkb8mhozbslbh9er_q">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для малообеспеченных семей, получающих ежемесячное пособие нуждающимся гражданам (семьям), имеющим детей до 16 лет, - "уй-булого комок", при потреблении электроэнергии свыше 150 кВт.ч до 700 кВт.ч в месяц применяется в размере, указанном в подпункте 5 пункта 1 </w:t>
      </w:r>
      <w:hyperlink w:history="1" r:id="rIdrxsdkpplruiwte5bjb_ty">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для малообеспеченных семей, получающих ежемесячное пособие нуждающимся гражданам (семьям), имеющим детей до 16 лет, - "уй-булого комок", проживающих в высокогорных и отдаленных труднодоступных зонах, при потреблении электроэнергии свыше 700 кВт.ч в месяц применяется в размере, указанном в подпункте 4 пункта 1 </w:t>
      </w:r>
      <w:hyperlink w:history="1" r:id="rIdfjkpyvler3amqwc-alexi">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Тариф для группы потребителей "Население, неограниченный" применяется в размере, указанном в подпункте 6 пункта 1 </w:t>
      </w:r>
      <w:hyperlink w:history="1" r:id="rId_mv9pzzk1h1ro0ksdnnad">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20. Тариф для группы потребителей "Население, неограниченный" (за исключением целей майнинга) применяется при наличии технической возможности у электроснабжающей организации и на добровольной основе бытовых потребителей на срок не менее 3 месяцев. При этом в соответствии с заключенным с электроснабжающей организацией индивидуальным договором тариф применяется на весь объем потребляемой электроэнергии, и норма потребления в 700 кВт.ч действовать не будет.</w:t>
      </w:r>
    </w:p>
    <w:p>
      <w:pPr>
        <w:spacing w:after="60"/>
        <w:ind w:firstLine="567"/>
        <w:jc w:val="both"/>
      </w:pPr>
      <w:r>
        <w:rPr>
          <w:rFonts w:ascii="Arial" w:cs="Arial" w:eastAsia="Arial" w:hAnsi="Arial"/>
          <w:sz w:val="24"/>
          <w:szCs w:val="24"/>
        </w:rPr>
        <w:t xml:space="preserve">21. Для группы потребителей "Население" в случае использования электроэнергии для зарядки электромобилей не выдаются дополнительные технические условия и мощности, электроэнергия используется в пределах существующей (установленной) мощности.</w:t>
      </w:r>
    </w:p>
    <w:p>
      <w:pPr>
        <w:spacing w:after="60"/>
        <w:ind w:firstLine="567"/>
        <w:jc w:val="both"/>
      </w:pPr>
      <w:r>
        <w:rPr>
          <w:rFonts w:ascii="Arial" w:cs="Arial" w:eastAsia="Arial" w:hAnsi="Arial"/>
          <w:sz w:val="24"/>
          <w:szCs w:val="24"/>
        </w:rPr>
        <w:t xml:space="preserve">22. В случае когда бытовой абонент использует электроэнергию в объеме, превышающем размер среднесуточного потребления в 23,014 кВт.ч, плата производится по тарифу, указанному в подпункте 2 пункта 1 </w:t>
      </w:r>
      <w:hyperlink w:history="1" r:id="rIddr10yy-o_sjlkak1k41sn">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 и в подпункте 3 пункта 1 </w:t>
      </w:r>
      <w:hyperlink w:history="1" r:id="rIdpnlczwws741n3csh5wua9">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 Стоимость электроэнергии, рассчитанная по этому тарифу, указывается отдельной строкой в счетах на оплату, выставленных электроснабжающей организацией потребителю.</w:t>
      </w:r>
    </w:p>
    <w:p>
      <w:pPr>
        <w:spacing w:after="60"/>
        <w:ind w:firstLine="567"/>
        <w:jc w:val="both"/>
      </w:pPr>
      <w:r>
        <w:rPr>
          <w:rFonts w:ascii="Arial" w:cs="Arial" w:eastAsia="Arial" w:hAnsi="Arial"/>
          <w:sz w:val="24"/>
          <w:szCs w:val="24"/>
        </w:rPr>
        <w:t xml:space="preserve">23. Отпуск электроэнергии дачным и садоводческим товариществам, рассчитывающимся с электроснабжающими организациями по общему расчетному счетчику (и не являющимся потребителями-перепродавцами со смешанной нагрузкой), производится по тарифам, установленным для группы "Население".</w:t>
      </w:r>
    </w:p>
    <w:p>
      <w:pPr>
        <w:spacing w:after="60"/>
        <w:ind w:firstLine="567"/>
        <w:jc w:val="both"/>
      </w:pPr>
      <w:r>
        <w:rPr>
          <w:rFonts w:ascii="Arial" w:cs="Arial" w:eastAsia="Arial" w:hAnsi="Arial"/>
          <w:sz w:val="24"/>
          <w:szCs w:val="24"/>
        </w:rPr>
        <w:t xml:space="preserve">Фактическое количество индивидуальных бытовых потребителей в каждом дачном садоводческом обществе или товариществе фиксируется на основании инвентаризации с участием представителей лицензиата (электроснабжающей организации).</w:t>
      </w:r>
    </w:p>
    <w:p>
      <w:pPr>
        <w:spacing w:after="60"/>
        <w:ind w:firstLine="567"/>
        <w:jc w:val="both"/>
      </w:pPr>
      <w:r>
        <w:rPr>
          <w:rFonts w:ascii="Arial" w:cs="Arial" w:eastAsia="Arial" w:hAnsi="Arial"/>
          <w:sz w:val="24"/>
          <w:szCs w:val="24"/>
        </w:rPr>
        <w:t xml:space="preserve">При этом начисление производится сначала по первой ступени тарифа для группы "Население" на объем потребления электроэнергии в размере 700 кВт.ч, умноженный на количество бытовых потребителей. Затем производится начисление по фактическому расходу электроэнергии по показаниям прибора учета потребителя, сумма оплаты по тарифу второй ступени для объема потребления выше 700 кВт.ч определяется за минусом начисления по первой ступени тарифа.</w:t>
      </w:r>
    </w:p>
    <w:p>
      <w:pPr>
        <w:spacing w:after="60"/>
        <w:ind w:firstLine="567"/>
        <w:jc w:val="both"/>
      </w:pPr>
      <w:r>
        <w:rPr>
          <w:rFonts w:ascii="Arial" w:cs="Arial" w:eastAsia="Arial" w:hAnsi="Arial"/>
          <w:sz w:val="24"/>
          <w:szCs w:val="24"/>
        </w:rPr>
        <w:t xml:space="preserve">24. Электрическая энергия, расходуемая дачными и садоводческими товариществами на полив (при условии, что насосная станция является коллективной), оплачивается отдельно по тарифу, установленному для группы потребителей "Социальные и общественные потребители", обеспечивающими полив сельскохозяйственных угодий.</w:t>
      </w:r>
    </w:p>
    <w:p>
      <w:pPr>
        <w:spacing w:after="60"/>
        <w:ind w:firstLine="567"/>
        <w:jc w:val="both"/>
      </w:pPr>
      <w:r>
        <w:rPr>
          <w:rFonts w:ascii="Arial" w:cs="Arial" w:eastAsia="Arial" w:hAnsi="Arial"/>
          <w:sz w:val="24"/>
          <w:szCs w:val="24"/>
        </w:rPr>
        <w:t xml:space="preserve">25. Аналогичный алгоритм расчета применяется для всех небытовых абонентов, имеющих потребителей группы "Население", и производящих расчет по общему прибору учета (общежития, жилые дома гостиничного типа с общим учетом и так далее).</w:t>
      </w:r>
    </w:p>
    <w:p>
      <w:pPr>
        <w:spacing w:after="60"/>
        <w:ind w:firstLine="567"/>
        <w:jc w:val="both"/>
      </w:pPr>
      <w:r>
        <w:rPr>
          <w:rFonts w:ascii="Arial" w:cs="Arial" w:eastAsia="Arial" w:hAnsi="Arial"/>
          <w:sz w:val="24"/>
          <w:szCs w:val="24"/>
        </w:rPr>
        <w:t xml:space="preserve">26. Для группы физических лиц, рассчитывающихся за электроэнергию по одному головному учету и имеющих один лицевой счет, начисление платы за потребленную электроэнергию производится на основании инвентаризации, фиксирующей количество индивидуальных бытовых потребителей, присоединенных к общему головному учету. При этом если в качестве одного и нескольких потребителей выступает малообеспеченная семья, получающая ежемесячное пособие нуждающимся гражданам (семьям), имеющим детей до 16 лет, - "уй-булого комок", идентификация такого потребителя производится на основании лицевого счета и списка, представляемого соответствующим уполномоченным государственным органом в сфере труда, социального обеспечения Кыргызской Республики.</w:t>
      </w:r>
    </w:p>
    <w:p>
      <w:pPr>
        <w:spacing w:after="60"/>
        <w:ind w:firstLine="567"/>
        <w:jc w:val="both"/>
      </w:pPr>
      <w:r>
        <w:rPr>
          <w:rFonts w:ascii="Arial" w:cs="Arial" w:eastAsia="Arial" w:hAnsi="Arial"/>
          <w:sz w:val="24"/>
          <w:szCs w:val="24"/>
        </w:rPr>
        <w:t xml:space="preserve">Начисление платы производится сначала по первой ступени тарифа для группы потребителей "Население" на объем потребления электроэнергии в размере 700 кВт.ч, умноженный на количество бытовых потребителей. Затем производится начисление по фактическому расходу электроэнергии по показаниям прибора учета потребителя, сумма оплаты по тарифу второй ступени для объема потребления выше 700 кВт.ч определяется за минусом начисления по первой ступени тарифа.</w:t>
      </w:r>
    </w:p>
    <w:p>
      <w:pPr>
        <w:spacing w:after="60"/>
        <w:ind w:firstLine="567"/>
        <w:jc w:val="both"/>
      </w:pPr>
      <w:r>
        <w:rPr>
          <w:rFonts w:ascii="Arial" w:cs="Arial" w:eastAsia="Arial" w:hAnsi="Arial"/>
          <w:sz w:val="24"/>
          <w:szCs w:val="24"/>
        </w:rPr>
        <w:t xml:space="preserve">27. Для потребителей, имеющих в своей собственности трансформаторные подстанции (ТП), линии электропередачи (ЛЭП) и рассчитывающихся по общему прибору учета, расположенному не на границе балансовой принадлежности, начисление производится по показаниям прибора учета и величине потерь в ТП и ЛЭП, принадлежащих потребителю. Начисление за потери в элементах сети потребителя производится по основному тарифу, применяемому к данному потребителю, а в случае подключения нескольких потребителей, относящихся к разным группам, при подключении к частному ТП бытового потребителя нескольких групп потребителей, потери в ТП должны выставляться по тарифам соответствующих групп пропорционально их ежемесячному расходу. В случаях когда по головному учету рассчитываются потребители группы "Население", расчет за потери в элементах сети потребителя производится по тарифу в размере, указанном в подпункте 2 пункта 1 </w:t>
      </w:r>
      <w:hyperlink w:history="1" r:id="rIdcwmohit00jjdbt9lyqc9h">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 Потери в сетях потребителя в объеме до 700 кВт.ч потребления электроэнергии каждого абонента не включаются.</w:t>
      </w:r>
    </w:p>
    <w:p>
      <w:pPr>
        <w:spacing w:after="60"/>
        <w:ind w:firstLine="567"/>
        <w:jc w:val="both"/>
      </w:pPr>
      <w:r>
        <w:rPr>
          <w:rFonts w:ascii="Arial" w:cs="Arial" w:eastAsia="Arial" w:hAnsi="Arial"/>
          <w:sz w:val="24"/>
          <w:szCs w:val="24"/>
        </w:rPr>
        <w:t xml:space="preserve">28. Для жителей коммунального сектора плата за потребление электроэнергии общего пользования (прожекторы, фонари, лампочки, освещающие подъезды и подъездные входы, наружное придомовое освещение, подъездное освещение, повышающие и понижающие насосы, бойлерные, вентиляция, дымоудаление, лифтовое электропотребление и другие приемники электроэнергии общего пользования, подключенные к внутридомовым сетям) производится по тарифу в размере, указанном в подпункте 2 пункта 1 </w:t>
      </w:r>
      <w:hyperlink w:history="1" r:id="rIda5r3vlpfl_xekvinabktf">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29. Плата за электроэнергию, потребленную электрокотельными, обслуживающими коммунальный сектор и находящимися на балансе кондоминиумов, жилищно-строительных кооперативов, товариществ собственников жилья, производится по тарифу, установленному для группы "Промышленность".</w:t>
      </w:r>
    </w:p>
    <w:p>
      <w:pPr>
        <w:spacing w:after="60"/>
        <w:ind w:firstLine="567"/>
        <w:jc w:val="both"/>
      </w:pPr>
      <w:r>
        <w:rPr>
          <w:rFonts w:ascii="Arial" w:cs="Arial" w:eastAsia="Arial" w:hAnsi="Arial"/>
          <w:sz w:val="24"/>
          <w:szCs w:val="24"/>
        </w:rPr>
        <w:t xml:space="preserve">30. Электрическая энергия, потребленная жилыми многоквартирными домами, строительство которых не завершено и дома не сданы в эксплуатацию, оплачивается по тарифам, установленным для группы "Промышленность" (промышленные и приравненные к ним потребители).</w:t>
      </w:r>
    </w:p>
    <w:p>
      <w:pPr>
        <w:spacing w:after="60"/>
        <w:ind w:firstLine="567"/>
        <w:jc w:val="both"/>
      </w:pPr>
      <w:r>
        <w:rPr>
          <w:rFonts w:ascii="Arial" w:cs="Arial" w:eastAsia="Arial" w:hAnsi="Arial"/>
          <w:sz w:val="24"/>
          <w:szCs w:val="24"/>
        </w:rPr>
        <w:t xml:space="preserve">31. К группе конечных потребителей "Население" относятся жилые дома, квартиры, общежития квартирного типа, общежития учебных заведений, школ-интернатов некоммерческого типа, казармы и общежития гарнизонов военизированных учреждений, следственные изоляторы исправительных учреждений и жилые зоны других министерств и ведомств.</w:t>
      </w:r>
    </w:p>
    <w:p>
      <w:pPr>
        <w:spacing w:after="60"/>
        <w:ind w:firstLine="567"/>
        <w:jc w:val="both"/>
      </w:pPr>
      <w:r>
        <w:rPr>
          <w:rFonts w:ascii="Arial" w:cs="Arial" w:eastAsia="Arial" w:hAnsi="Arial"/>
          <w:sz w:val="24"/>
          <w:szCs w:val="24"/>
        </w:rPr>
        <w:t xml:space="preserve">32. В случае использования электроэнергии населением не для бытовых целей (майнинг, швейное производство, гостиницы, магазины, офисы и др.) плата за электроэнергию производится по тарифу, соответствующему их виду деятельности.</w:t>
      </w:r>
    </w:p>
    <w:p>
      <w:pPr>
        <w:spacing w:after="60"/>
        <w:ind w:firstLine="567"/>
        <w:jc w:val="both"/>
      </w:pPr>
      <w:r>
        <w:rPr>
          <w:rFonts w:ascii="Arial" w:cs="Arial" w:eastAsia="Arial" w:hAnsi="Arial"/>
          <w:sz w:val="24"/>
          <w:szCs w:val="24"/>
        </w:rPr>
        <w:t xml:space="preserve">33. Для участников программы "Правительственные акселераторы" по осуществлению индивидуальной предпринимательской деятельности физическими лицами, предоставляющими услуги дошкольного образования, в жилых помещениях тариф на весь объем потребления применяется согласно подпункту 2 пункта 1</w:t>
      </w:r>
      <w:hyperlink w:history="1" r:id="rIdeaejl-tc3_kmaoup7xzxt">
        <w:r>
          <w:rPr>
            <w:rFonts w:ascii="Arial" w:cs="Arial" w:eastAsia="Arial" w:hAnsi="Arial"/>
            <w:color w:val="1D4ED8"/>
            <w:sz w:val="24"/>
            <w:szCs w:val="24"/>
            <w:u w:val="single"/>
          </w:rPr>
          <w:t xml:space="preserve"> приложения 1</w:t>
        </w:r>
      </w:hyperlink>
      <w:r>
        <w:rPr>
          <w:rFonts w:ascii="Arial" w:cs="Arial" w:eastAsia="Arial" w:hAnsi="Arial"/>
          <w:sz w:val="24"/>
          <w:szCs w:val="24"/>
        </w:rPr>
        <w:t xml:space="preserve"> к ССТП.</w:t>
      </w:r>
    </w:p>
    <w:p>
      <w:pPr>
        <w:spacing w:after="200" w:before="200"/>
        <w:jc w:val="center"/>
      </w:pPr>
      <w:r>
        <w:rPr>
          <w:rFonts w:ascii="Arial" w:cs="Arial" w:eastAsia="Arial" w:hAnsi="Arial"/>
          <w:b/>
          <w:bCs/>
          <w:sz w:val="32"/>
          <w:szCs w:val="32"/>
        </w:rPr>
        <w:t xml:space="preserve">Глава 6. Применение тарифов на электрическую энергию, отпускаемую группе "Социальные и общественные потребители"</w:t>
      </w:r>
    </w:p>
    <w:p>
      <w:pPr>
        <w:spacing w:after="60"/>
        <w:ind w:firstLine="567"/>
        <w:jc w:val="both"/>
      </w:pPr>
      <w:r>
        <w:rPr>
          <w:rFonts w:ascii="Arial" w:cs="Arial" w:eastAsia="Arial" w:hAnsi="Arial"/>
          <w:sz w:val="24"/>
          <w:szCs w:val="24"/>
        </w:rPr>
        <w:t xml:space="preserve">34. Отпуск электрической энергии для группы потребителей "Социальные и общественные потребители" производится по тарифу в размере, указанном в пункте 2 </w:t>
      </w:r>
      <w:hyperlink w:history="1" r:id="rId_rkp_sov-4_4ff1sdnhni">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35. Отпуск электрической энергии для группы потребителей "Социальные и общественные потребители", то есть для насосных станций Токтогульского района Джалал-Абадской области и села Жазы-Кечуу города Кара-Куль и города Кара-Куль производится по социально-ориентированному тарифу в размере, указанном в пункте 2 </w:t>
      </w:r>
      <w:hyperlink w:history="1" r:id="rIdvegm61jigiki45omz76am">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36. К потребителям группы "Социальные и общественные потребители" относятся следующие конечные потребители:</w:t>
      </w:r>
    </w:p>
    <w:p>
      <w:pPr>
        <w:spacing w:after="60"/>
        <w:ind w:firstLine="567"/>
        <w:jc w:val="both"/>
      </w:pPr>
      <w:r>
        <w:rPr>
          <w:rFonts w:ascii="Arial" w:cs="Arial" w:eastAsia="Arial" w:hAnsi="Arial"/>
          <w:sz w:val="24"/>
          <w:szCs w:val="24"/>
        </w:rPr>
        <w:t xml:space="preserve">1) насосные станции и скважины, обеспечивающие население питьевой водой;</w:t>
      </w:r>
    </w:p>
    <w:p>
      <w:pPr>
        <w:spacing w:after="60"/>
        <w:ind w:firstLine="567"/>
        <w:jc w:val="both"/>
      </w:pPr>
      <w:r>
        <w:rPr>
          <w:rFonts w:ascii="Arial" w:cs="Arial" w:eastAsia="Arial" w:hAnsi="Arial"/>
          <w:sz w:val="24"/>
          <w:szCs w:val="24"/>
        </w:rPr>
        <w:t xml:space="preserve">2) насосные станции и скважины, обеспечивающие полив сельскохозяйственных угодий;</w:t>
      </w:r>
    </w:p>
    <w:p>
      <w:pPr>
        <w:spacing w:after="60"/>
        <w:ind w:firstLine="567"/>
        <w:jc w:val="both"/>
      </w:pPr>
      <w:r>
        <w:rPr>
          <w:rFonts w:ascii="Arial" w:cs="Arial" w:eastAsia="Arial" w:hAnsi="Arial"/>
          <w:sz w:val="24"/>
          <w:szCs w:val="24"/>
        </w:rPr>
        <w:t xml:space="preserve">3) насосные станции и скважины предприятий водопроводно-канализационного хозяйства;</w:t>
      </w:r>
    </w:p>
    <w:p>
      <w:pPr>
        <w:spacing w:after="60"/>
        <w:ind w:firstLine="567"/>
        <w:jc w:val="both"/>
      </w:pPr>
      <w:r>
        <w:rPr>
          <w:rFonts w:ascii="Arial" w:cs="Arial" w:eastAsia="Arial" w:hAnsi="Arial"/>
          <w:sz w:val="24"/>
          <w:szCs w:val="24"/>
        </w:rPr>
        <w:t xml:space="preserve">4) насосные станции машинного орошения, оросительные каналы, скважины вертикального дренажа, капельного орошения;</w:t>
      </w:r>
    </w:p>
    <w:p>
      <w:pPr>
        <w:spacing w:after="60"/>
        <w:ind w:firstLine="567"/>
        <w:jc w:val="both"/>
      </w:pPr>
      <w:r>
        <w:rPr>
          <w:rFonts w:ascii="Arial" w:cs="Arial" w:eastAsia="Arial" w:hAnsi="Arial"/>
          <w:sz w:val="24"/>
          <w:szCs w:val="24"/>
        </w:rPr>
        <w:t xml:space="preserve">5) муниципальные троллейбусные депо, а также пассажирские автотранспортные предприятия, использующие электрический транспорт (троллейбусы и электроавтобусы) для предоставления соответствующих услуг пассажирских перевозок;</w:t>
      </w:r>
    </w:p>
    <w:p>
      <w:pPr>
        <w:spacing w:after="60"/>
        <w:ind w:firstLine="567"/>
        <w:jc w:val="both"/>
      </w:pPr>
      <w:r>
        <w:rPr>
          <w:rFonts w:ascii="Arial" w:cs="Arial" w:eastAsia="Arial" w:hAnsi="Arial"/>
          <w:sz w:val="24"/>
          <w:szCs w:val="24"/>
        </w:rPr>
        <w:t xml:space="preserve">6) стационарные учреждения (должны иметь свидетельство об аккредитации со стороны уполномоченного государственного органа в сфере социального развития, а также соответствовать одной из следующих характеристик):</w:t>
      </w:r>
    </w:p>
    <w:p>
      <w:pPr>
        <w:spacing w:after="60"/>
        <w:ind w:firstLine="567"/>
        <w:jc w:val="both"/>
      </w:pPr>
      <w:r>
        <w:rPr>
          <w:rFonts w:ascii="Arial" w:cs="Arial" w:eastAsia="Arial" w:hAnsi="Arial"/>
          <w:sz w:val="24"/>
          <w:szCs w:val="24"/>
        </w:rPr>
        <w:t xml:space="preserve">- социальные стационарные учреждения для пожилых граждан и лиц с ограниченными возможностями здоровья;</w:t>
      </w:r>
    </w:p>
    <w:p>
      <w:pPr>
        <w:spacing w:after="60"/>
        <w:ind w:firstLine="567"/>
        <w:jc w:val="both"/>
      </w:pPr>
      <w:r>
        <w:rPr>
          <w:rFonts w:ascii="Arial" w:cs="Arial" w:eastAsia="Arial" w:hAnsi="Arial"/>
          <w:sz w:val="24"/>
          <w:szCs w:val="24"/>
        </w:rPr>
        <w:t xml:space="preserve">- социальные стационарные учреждения для детей с ограниченными возможностями здоровья;</w:t>
      </w:r>
    </w:p>
    <w:p>
      <w:pPr>
        <w:spacing w:after="60"/>
        <w:ind w:firstLine="567"/>
        <w:jc w:val="both"/>
      </w:pPr>
      <w:r>
        <w:rPr>
          <w:rFonts w:ascii="Arial" w:cs="Arial" w:eastAsia="Arial" w:hAnsi="Arial"/>
          <w:sz w:val="24"/>
          <w:szCs w:val="24"/>
        </w:rPr>
        <w:t xml:space="preserve">- социальные стационарные учреждения для детей-сирот и детей, оставшихся без попечения родителей;</w:t>
      </w:r>
    </w:p>
    <w:p>
      <w:pPr>
        <w:spacing w:after="60"/>
        <w:ind w:firstLine="567"/>
        <w:jc w:val="both"/>
      </w:pPr>
      <w:r>
        <w:rPr>
          <w:rFonts w:ascii="Arial" w:cs="Arial" w:eastAsia="Arial" w:hAnsi="Arial"/>
          <w:sz w:val="24"/>
          <w:szCs w:val="24"/>
        </w:rPr>
        <w:t xml:space="preserve">7) полустационарные учреждения (должны иметь свидетельство об аккредитации со стороны уполномоченного государственного органа в сфере социального развития, а также соответствовать одной из следующих характеристик):</w:t>
      </w:r>
    </w:p>
    <w:p>
      <w:pPr>
        <w:spacing w:after="60"/>
        <w:ind w:firstLine="567"/>
        <w:jc w:val="both"/>
      </w:pPr>
      <w:r>
        <w:rPr>
          <w:rFonts w:ascii="Arial" w:cs="Arial" w:eastAsia="Arial" w:hAnsi="Arial"/>
          <w:sz w:val="24"/>
          <w:szCs w:val="24"/>
        </w:rPr>
        <w:t xml:space="preserve">- центры социального обслуживания пожилых граждан, лиц с ограниченными возможностями здоровья и детей с ограниченными возможностями здоровья (отделения дневного пребывания);</w:t>
      </w:r>
    </w:p>
    <w:p>
      <w:pPr>
        <w:spacing w:after="60"/>
        <w:ind w:firstLine="567"/>
        <w:jc w:val="both"/>
      </w:pPr>
      <w:r>
        <w:rPr>
          <w:rFonts w:ascii="Arial" w:cs="Arial" w:eastAsia="Arial" w:hAnsi="Arial"/>
          <w:sz w:val="24"/>
          <w:szCs w:val="24"/>
        </w:rPr>
        <w:t xml:space="preserve">- социальные приюты для детей и подростков;</w:t>
      </w:r>
    </w:p>
    <w:p>
      <w:pPr>
        <w:spacing w:after="60"/>
        <w:ind w:firstLine="567"/>
        <w:jc w:val="both"/>
      </w:pPr>
      <w:r>
        <w:rPr>
          <w:rFonts w:ascii="Arial" w:cs="Arial" w:eastAsia="Arial" w:hAnsi="Arial"/>
          <w:sz w:val="24"/>
          <w:szCs w:val="24"/>
        </w:rPr>
        <w:t xml:space="preserve">- социально-реабилитационные центры для детей и иных категорий лиц с ограниченными возможностями здоровья;</w:t>
      </w:r>
    </w:p>
    <w:p>
      <w:pPr>
        <w:spacing w:after="60"/>
        <w:ind w:firstLine="567"/>
        <w:jc w:val="both"/>
      </w:pPr>
      <w:r>
        <w:rPr>
          <w:rFonts w:ascii="Arial" w:cs="Arial" w:eastAsia="Arial" w:hAnsi="Arial"/>
          <w:sz w:val="24"/>
          <w:szCs w:val="24"/>
        </w:rPr>
        <w:t xml:space="preserve">- центры социальной помощи детям;</w:t>
      </w:r>
    </w:p>
    <w:p>
      <w:pPr>
        <w:spacing w:after="60"/>
        <w:ind w:firstLine="567"/>
        <w:jc w:val="both"/>
      </w:pPr>
      <w:r>
        <w:rPr>
          <w:rFonts w:ascii="Arial" w:cs="Arial" w:eastAsia="Arial" w:hAnsi="Arial"/>
          <w:sz w:val="24"/>
          <w:szCs w:val="24"/>
        </w:rPr>
        <w:t xml:space="preserve">- приюты ночного пребывания;</w:t>
      </w:r>
    </w:p>
    <w:p>
      <w:pPr>
        <w:spacing w:after="60"/>
        <w:ind w:firstLine="567"/>
        <w:jc w:val="both"/>
      </w:pPr>
      <w:r>
        <w:rPr>
          <w:rFonts w:ascii="Arial" w:cs="Arial" w:eastAsia="Arial" w:hAnsi="Arial"/>
          <w:sz w:val="24"/>
          <w:szCs w:val="24"/>
        </w:rPr>
        <w:t xml:space="preserve">- геронтологические центры;</w:t>
      </w:r>
    </w:p>
    <w:p>
      <w:pPr>
        <w:spacing w:after="60"/>
        <w:ind w:firstLine="567"/>
        <w:jc w:val="both"/>
      </w:pPr>
      <w:r>
        <w:rPr>
          <w:rFonts w:ascii="Arial" w:cs="Arial" w:eastAsia="Arial" w:hAnsi="Arial"/>
          <w:sz w:val="24"/>
          <w:szCs w:val="24"/>
        </w:rPr>
        <w:t xml:space="preserve">- специальные дома для одиноких пожилых граждан;</w:t>
      </w:r>
    </w:p>
    <w:p>
      <w:pPr>
        <w:spacing w:after="60"/>
        <w:ind w:firstLine="567"/>
        <w:jc w:val="both"/>
      </w:pPr>
      <w:r>
        <w:rPr>
          <w:rFonts w:ascii="Arial" w:cs="Arial" w:eastAsia="Arial" w:hAnsi="Arial"/>
          <w:sz w:val="24"/>
          <w:szCs w:val="24"/>
        </w:rPr>
        <w:t xml:space="preserve">- центры помощи детям, оставшимся без попечения родителей;</w:t>
      </w:r>
    </w:p>
    <w:p>
      <w:pPr>
        <w:spacing w:after="60"/>
        <w:ind w:firstLine="567"/>
        <w:jc w:val="both"/>
      </w:pPr>
      <w:r>
        <w:rPr>
          <w:rFonts w:ascii="Arial" w:cs="Arial" w:eastAsia="Arial" w:hAnsi="Arial"/>
          <w:sz w:val="24"/>
          <w:szCs w:val="24"/>
        </w:rPr>
        <w:t xml:space="preserve">- центры помощи выпускникам детских домов (центры социальной адаптации);</w:t>
      </w:r>
    </w:p>
    <w:p>
      <w:pPr>
        <w:spacing w:after="60"/>
        <w:ind w:firstLine="567"/>
        <w:jc w:val="both"/>
      </w:pPr>
      <w:r>
        <w:rPr>
          <w:rFonts w:ascii="Arial" w:cs="Arial" w:eastAsia="Arial" w:hAnsi="Arial"/>
          <w:sz w:val="24"/>
          <w:szCs w:val="24"/>
        </w:rPr>
        <w:t xml:space="preserve">- убежища (центр временного пребывания для лиц, пострадавших от семейного насилия);</w:t>
      </w:r>
    </w:p>
    <w:p>
      <w:pPr>
        <w:spacing w:after="60"/>
        <w:ind w:firstLine="567"/>
        <w:jc w:val="both"/>
      </w:pPr>
      <w:r>
        <w:rPr>
          <w:rFonts w:ascii="Arial" w:cs="Arial" w:eastAsia="Arial" w:hAnsi="Arial"/>
          <w:sz w:val="24"/>
          <w:szCs w:val="24"/>
        </w:rPr>
        <w:t xml:space="preserve">- реабилитационные центры (социальные общежития) согласно </w:t>
      </w:r>
      <w:hyperlink w:history="1" r:id="rIdznf_9mn7viqh46hluln5t">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 Закона Кыргызской Республики "О пробации";</w:t>
      </w:r>
    </w:p>
    <w:p>
      <w:pPr>
        <w:spacing w:after="60"/>
        <w:ind w:firstLine="567"/>
        <w:jc w:val="both"/>
      </w:pPr>
      <w:r>
        <w:rPr>
          <w:rFonts w:ascii="Arial" w:cs="Arial" w:eastAsia="Arial" w:hAnsi="Arial"/>
          <w:sz w:val="24"/>
          <w:szCs w:val="24"/>
        </w:rPr>
        <w:t xml:space="preserve">- семейные детские дома;</w:t>
      </w:r>
    </w:p>
    <w:p>
      <w:pPr>
        <w:spacing w:after="60"/>
        <w:ind w:firstLine="567"/>
        <w:jc w:val="both"/>
      </w:pPr>
      <w:r>
        <w:rPr>
          <w:rFonts w:ascii="Arial" w:cs="Arial" w:eastAsia="Arial" w:hAnsi="Arial"/>
          <w:sz w:val="24"/>
          <w:szCs w:val="24"/>
        </w:rPr>
        <w:t xml:space="preserve">8) детские учреждения интернатного типа, независимо от формы собственности, оказывающие услуги детям, находящимся в трудной жизненной ситуации, и предназначенные для круглосуточного пребывания детей (должны иметь свидетельство об аккредитации со стороны уполномоченного государственного органа в сфере социального развития);</w:t>
      </w:r>
    </w:p>
    <w:p>
      <w:pPr>
        <w:spacing w:after="60"/>
        <w:ind w:firstLine="567"/>
        <w:jc w:val="both"/>
      </w:pPr>
      <w:r>
        <w:rPr>
          <w:rFonts w:ascii="Arial" w:cs="Arial" w:eastAsia="Arial" w:hAnsi="Arial"/>
          <w:sz w:val="24"/>
          <w:szCs w:val="24"/>
        </w:rPr>
        <w:t xml:space="preserve">9) религиозные общества, центры, религиозные учебные заведения, мечети, церкви, синагоги, молитвенные дома, монастыри и другие организации, зарегистрированные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10) футбольные учреждения и организации, соответствующие одной из следующих характеристик:</w:t>
      </w:r>
    </w:p>
    <w:p>
      <w:pPr>
        <w:spacing w:after="120"/>
        <w:ind w:firstLine="567"/>
        <w:jc w:val="both"/>
      </w:pPr>
      <w:r>
        <w:rPr>
          <w:rFonts w:ascii="Arial" w:cs="Arial" w:eastAsia="Arial" w:hAnsi="Arial"/>
          <w:sz w:val="24"/>
          <w:szCs w:val="24"/>
        </w:rPr>
        <w:t xml:space="preserve">- профессиональные футбольные клубы (независимо от форм собственности), прошедшие аккредитацию в объединении юридических лиц "Кыргызский футбольный союз", а также отвечающие всем обязательным требованиям клубного лицензирования согласно Регламенту Кыргызского футбольного союза по лицензированию футбольных клубов;</w:t>
      </w:r>
    </w:p>
    <w:p>
      <w:pPr>
        <w:spacing w:after="120"/>
        <w:ind w:firstLine="567"/>
        <w:jc w:val="both"/>
      </w:pPr>
      <w:r>
        <w:rPr>
          <w:rFonts w:ascii="Arial" w:cs="Arial" w:eastAsia="Arial" w:hAnsi="Arial"/>
          <w:sz w:val="24"/>
          <w:szCs w:val="24"/>
        </w:rPr>
        <w:t xml:space="preserve">- футбольные академии (независимо от форм собственности), прошедшие аккредитацию в объединении юридических лиц "Кыргызский футбольный союз", в том числе соответствующие системе оценки (рейтингов) академий Международной федерации футбольных ассоциаций (FIFA) и/или Азиатской конфедерации футбола (AFC).</w:t>
      </w:r>
    </w:p>
    <w:p>
      <w:pPr>
        <w:spacing w:after="120"/>
        <w:ind w:firstLine="567"/>
        <w:jc w:val="both"/>
      </w:pPr>
      <w:r>
        <w:rPr>
          <w:rFonts w:ascii="Arial" w:cs="Arial" w:eastAsia="Arial" w:hAnsi="Arial"/>
          <w:sz w:val="24"/>
          <w:szCs w:val="24"/>
        </w:rPr>
        <w:t xml:space="preserve">36</w:t>
      </w:r>
      <w:r>
        <w:rPr>
          <w:rFonts w:ascii="Arial" w:cs="Arial" w:eastAsia="Arial" w:hAnsi="Arial"/>
          <w:sz w:val="20"/>
          <w:szCs w:val="20"/>
        </w:rPr>
        <w:t xml:space="preserve">1</w:t>
      </w:r>
      <w:r>
        <w:rPr>
          <w:rFonts w:ascii="Arial" w:cs="Arial" w:eastAsia="Arial" w:hAnsi="Arial"/>
          <w:sz w:val="24"/>
          <w:szCs w:val="24"/>
        </w:rPr>
        <w:t xml:space="preserve">. Для хозяйствующих субъектов, осуществляющих производство сельскохозяйственной продукции с применением водосберегающих систем капельного и дождевого орошения в рамках государственных программ в сфере водосбережения, отпуск электрической энергии производится по тарифу в размере, указанном в пункте 2 </w:t>
      </w:r>
      <w:r>
        <w:rPr>
          <w:rFonts w:ascii="Arial" w:cs="Arial" w:eastAsia="Arial" w:hAnsi="Arial"/>
          <w:sz w:val="24"/>
          <w:szCs w:val="24"/>
        </w:rPr>
        <w:t xml:space="preserve">приложения 1</w:t>
      </w:r>
      <w:r>
        <w:rPr>
          <w:rFonts w:ascii="Arial" w:cs="Arial" w:eastAsia="Arial" w:hAnsi="Arial"/>
          <w:sz w:val="24"/>
          <w:szCs w:val="24"/>
        </w:rPr>
        <w:t xml:space="preserve"> к ССТП, установленном с 1 мая 2025 года, и не подлежит последующему увеличению до 1 мая 2030 года.</w:t>
      </w:r>
    </w:p>
    <w:p>
      <w:pPr>
        <w:spacing w:after="120"/>
        <w:ind w:firstLine="567"/>
        <w:jc w:val="both"/>
      </w:pPr>
      <w:r>
        <w:rPr>
          <w:rFonts w:ascii="Arial" w:cs="Arial" w:eastAsia="Arial" w:hAnsi="Arial"/>
          <w:i/>
          <w:iCs/>
          <w:sz w:val="24"/>
          <w:szCs w:val="24"/>
        </w:rPr>
        <w:t xml:space="preserve">(В редакции </w:t>
      </w:r>
      <w:hyperlink w:history="1" r:id="rIdnlml2l-o22coukaod3pk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10 апреля 2026 года № 237)</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7. Применение тарифов на электрическую энергию, отпускаемую группе "Станции по зарядке электромобилей"</w:t>
      </w:r>
    </w:p>
    <w:p>
      <w:pPr>
        <w:spacing w:after="60"/>
        <w:ind w:firstLine="567"/>
        <w:jc w:val="both"/>
      </w:pPr>
      <w:r>
        <w:rPr>
          <w:rFonts w:ascii="Arial" w:cs="Arial" w:eastAsia="Arial" w:hAnsi="Arial"/>
          <w:sz w:val="24"/>
          <w:szCs w:val="24"/>
        </w:rPr>
        <w:t xml:space="preserve">37. Отпуск электрической энергии потребителям группы "Станции по зарядке электромобилей" производится по установленным тарифам, независимо от типа ввода, характера использования электрической энергии.</w:t>
      </w:r>
    </w:p>
    <w:p>
      <w:pPr>
        <w:spacing w:after="60"/>
        <w:ind w:firstLine="567"/>
        <w:jc w:val="both"/>
      </w:pPr>
      <w:r>
        <w:rPr>
          <w:rFonts w:ascii="Arial" w:cs="Arial" w:eastAsia="Arial" w:hAnsi="Arial"/>
          <w:sz w:val="24"/>
          <w:szCs w:val="24"/>
        </w:rPr>
        <w:t xml:space="preserve">38. Плата для потребителей "Станции по зарядке электромобилей" за потребленную электроэнергию производится по тарифу, указанному в пункте 3 </w:t>
      </w:r>
      <w:hyperlink w:history="1" r:id="rIdvg3a2kjonx3ejo5gjzgb1">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39. К потребителям группы "Станции по зарядке электромобилей" относятся все станции по зарядке электромобилей.</w:t>
      </w:r>
    </w:p>
    <w:p>
      <w:pPr>
        <w:spacing w:after="200" w:before="200"/>
        <w:jc w:val="center"/>
      </w:pPr>
      <w:r>
        <w:rPr>
          <w:rFonts w:ascii="Arial" w:cs="Arial" w:eastAsia="Arial" w:hAnsi="Arial"/>
          <w:b/>
          <w:bCs/>
          <w:sz w:val="32"/>
          <w:szCs w:val="32"/>
        </w:rPr>
        <w:t xml:space="preserve">Глава 8. Применение тарифов на электрическую энергию, отпускаемую потребителям группы "Промышленность"</w:t>
      </w:r>
    </w:p>
    <w:p>
      <w:pPr>
        <w:spacing w:after="60"/>
        <w:ind w:firstLine="567"/>
        <w:jc w:val="both"/>
      </w:pPr>
      <w:r>
        <w:rPr>
          <w:rFonts w:ascii="Arial" w:cs="Arial" w:eastAsia="Arial" w:hAnsi="Arial"/>
          <w:sz w:val="24"/>
          <w:szCs w:val="24"/>
        </w:rPr>
        <w:t xml:space="preserve">40. Расчет за отпущенную электрическую энергию для группы "Промышленность" (промышленные и приравненные к ним потребители) производится по установленным тарифам.</w:t>
      </w:r>
    </w:p>
    <w:p>
      <w:pPr>
        <w:spacing w:after="60"/>
        <w:ind w:firstLine="567"/>
        <w:jc w:val="both"/>
      </w:pPr>
      <w:r>
        <w:rPr>
          <w:rFonts w:ascii="Arial" w:cs="Arial" w:eastAsia="Arial" w:hAnsi="Arial"/>
          <w:sz w:val="24"/>
          <w:szCs w:val="24"/>
        </w:rPr>
        <w:t xml:space="preserve">41. По этим же тарифам производится расчет за электрическую энергию, расходуемую потребителями группы "Промышленность" на производственные нужды и освещение производственных и непроизводственных (но связанных с производством) помещений: цехов, заводоуправлений, офисов, фабрично-заводских общественных организаций, складов, гаражей и так далее, а также собственных железнодорожных подъездных путей и территорий предприятий.</w:t>
      </w:r>
    </w:p>
    <w:p>
      <w:pPr>
        <w:spacing w:after="60"/>
        <w:ind w:firstLine="567"/>
        <w:jc w:val="both"/>
      </w:pPr>
      <w:r>
        <w:rPr>
          <w:rFonts w:ascii="Arial" w:cs="Arial" w:eastAsia="Arial" w:hAnsi="Arial"/>
          <w:sz w:val="24"/>
          <w:szCs w:val="24"/>
        </w:rPr>
        <w:t xml:space="preserve">42. У потребителей группы "Промышленность" (промышленные и приравненные к ним потребители) могут быть здания, помещения и сооружения, не связанные с производством (жилые поселки, отдельные жилые дома, общежития, гостиницы, дома для приезжих, кинотеатры, клубы, дома культуры, больницы, поликлиники, медпункты, бани, сауны, столовые, детские сады, ясли, насосные станции и тому подобное), в том числе находящиеся на одной территории с производством и подключенные от общих электрических сетей. Такие здания и помещения должны быть оснащены отдельными приборами учета. Расчеты за электрическую энергию, расходуемую на освещение и прочие нужды в таких зданиях и помещениях, не связанных с производством, производятся по тарифам, установленным для соответствующих групп потребителей.</w:t>
      </w:r>
    </w:p>
    <w:p>
      <w:pPr>
        <w:spacing w:after="60"/>
        <w:ind w:firstLine="567"/>
        <w:jc w:val="both"/>
      </w:pPr>
      <w:r>
        <w:rPr>
          <w:rFonts w:ascii="Arial" w:cs="Arial" w:eastAsia="Arial" w:hAnsi="Arial"/>
          <w:sz w:val="24"/>
          <w:szCs w:val="24"/>
        </w:rPr>
        <w:t xml:space="preserve">43. Если отдельные цеха или отдельные объекты расположены обособленно от основного потребителя и не имеют общих с ним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60"/>
        <w:ind w:firstLine="567"/>
        <w:jc w:val="both"/>
      </w:pPr>
      <w:r>
        <w:rPr>
          <w:rFonts w:ascii="Arial" w:cs="Arial" w:eastAsia="Arial" w:hAnsi="Arial"/>
          <w:sz w:val="24"/>
          <w:szCs w:val="24"/>
        </w:rPr>
        <w:t xml:space="preserve">44. Плата потребителями группы "Промышленность" (промышленные и приравненные к ним потребители) за потребленную электроэнергию производится по тарифу, указанному в пункте 4 </w:t>
      </w:r>
      <w:hyperlink w:history="1" r:id="rIdq39bqzveagz5ced65ob99">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45. К потребителям группы "Промышленность" (промышленные и приравненные к ним потребители) относятся предприятия любой организационной формы и собственности, занимающиеся производством и переработкой продукции, в том числе:</w:t>
      </w:r>
    </w:p>
    <w:p>
      <w:pPr>
        <w:spacing w:after="60"/>
        <w:ind w:firstLine="567"/>
        <w:jc w:val="both"/>
      </w:pPr>
      <w:r>
        <w:rPr>
          <w:rFonts w:ascii="Arial" w:cs="Arial" w:eastAsia="Arial" w:hAnsi="Arial"/>
          <w:sz w:val="24"/>
          <w:szCs w:val="24"/>
        </w:rPr>
        <w:t xml:space="preserve">1) объединения, промышленные предприятия (заводы, в том числе сельскохозяйственные ремонтные предприятия, мастерские по ремонту сельскохозяйственных машин и механизмов, а также опытные заводы научно-исследовательских организаций, комбинаты, фабрики, шахты, рудники, карьеры, разрезы, нефтяные, газовые промыслы, буровые установки и др.);</w:t>
      </w:r>
    </w:p>
    <w:p>
      <w:pPr>
        <w:spacing w:after="60"/>
        <w:ind w:firstLine="567"/>
        <w:jc w:val="both"/>
      </w:pPr>
      <w:r>
        <w:rPr>
          <w:rFonts w:ascii="Arial" w:cs="Arial" w:eastAsia="Arial" w:hAnsi="Arial"/>
          <w:sz w:val="24"/>
          <w:szCs w:val="24"/>
        </w:rPr>
        <w:t xml:space="preserve">2) производственные мастерские, типографии, холодильные установки, производственные и ремонтные базы;</w:t>
      </w:r>
    </w:p>
    <w:p>
      <w:pPr>
        <w:spacing w:after="60"/>
        <w:ind w:firstLine="567"/>
        <w:jc w:val="both"/>
      </w:pPr>
      <w:r>
        <w:rPr>
          <w:rFonts w:ascii="Arial" w:cs="Arial" w:eastAsia="Arial" w:hAnsi="Arial"/>
          <w:sz w:val="24"/>
          <w:szCs w:val="24"/>
        </w:rPr>
        <w:t xml:space="preserve">3) предприятия по производству строительных материалов;</w:t>
      </w:r>
    </w:p>
    <w:p>
      <w:pPr>
        <w:spacing w:after="60"/>
        <w:ind w:firstLine="567"/>
        <w:jc w:val="both"/>
      </w:pPr>
      <w:r>
        <w:rPr>
          <w:rFonts w:ascii="Arial" w:cs="Arial" w:eastAsia="Arial" w:hAnsi="Arial"/>
          <w:sz w:val="24"/>
          <w:szCs w:val="24"/>
        </w:rPr>
        <w:t xml:space="preserve">4) строительные организации, осуществляющие непосредственно строительные и монтажные работы, включая подсобные транспортные и вспомогательные объекты, обслуживающие данное строительство, сельскохозяйственные строительные организации;</w:t>
      </w:r>
    </w:p>
    <w:p>
      <w:pPr>
        <w:spacing w:after="60"/>
        <w:ind w:firstLine="567"/>
        <w:jc w:val="both"/>
      </w:pPr>
      <w:r>
        <w:rPr>
          <w:rFonts w:ascii="Arial" w:cs="Arial" w:eastAsia="Arial" w:hAnsi="Arial"/>
          <w:sz w:val="24"/>
          <w:szCs w:val="24"/>
        </w:rPr>
        <w:t xml:space="preserve">5) предприятия железнодорожного, водного, автомобильного, воздушного и городского транспорта (ремонтные и другие заводы, железнодорожные и автобусные депо и парки, сортировочные транспортные объекты, морские и речные порты, перевалочные базы и пункты, автобазы, нефтепроводы, магистральные газопроводы и другие);</w:t>
      </w:r>
    </w:p>
    <w:p>
      <w:pPr>
        <w:spacing w:after="60"/>
        <w:ind w:firstLine="567"/>
        <w:jc w:val="both"/>
      </w:pPr>
      <w:r>
        <w:rPr>
          <w:rFonts w:ascii="Arial" w:cs="Arial" w:eastAsia="Arial" w:hAnsi="Arial"/>
          <w:sz w:val="24"/>
          <w:szCs w:val="24"/>
        </w:rPr>
        <w:t xml:space="preserve">6) предприятия связи (компании кабельного телевидения, теле- и радиокомпании, радиостанции, телевизионные центры, ретрансляторы, телефонные и телеграфные узлы и станции, станции сотовой связи, интернет-провайдеры, почтамты и другие);</w:t>
      </w:r>
    </w:p>
    <w:p>
      <w:pPr>
        <w:spacing w:after="60"/>
        <w:ind w:firstLine="567"/>
        <w:jc w:val="both"/>
      </w:pPr>
      <w:r>
        <w:rPr>
          <w:rFonts w:ascii="Arial" w:cs="Arial" w:eastAsia="Arial" w:hAnsi="Arial"/>
          <w:sz w:val="24"/>
          <w:szCs w:val="24"/>
        </w:rPr>
        <w:t xml:space="preserve">7) предприятия коммунального хозяйства (котельные, предприятия тепловых сетей, предприятия водопроводно-канализационного хозяйства);</w:t>
      </w:r>
    </w:p>
    <w:p>
      <w:pPr>
        <w:spacing w:after="60"/>
        <w:ind w:firstLine="567"/>
        <w:jc w:val="both"/>
      </w:pPr>
      <w:r>
        <w:rPr>
          <w:rFonts w:ascii="Arial" w:cs="Arial" w:eastAsia="Arial" w:hAnsi="Arial"/>
          <w:sz w:val="24"/>
          <w:szCs w:val="24"/>
        </w:rPr>
        <w:t xml:space="preserve">8) предприятия и организации материально-технического снабжения и заготовок промышленных предприятий (склады, элеваторы, базы, в том числе и перевалочные, различные приемные пункты, разделочные и заготовительные объекты и другие);</w:t>
      </w:r>
    </w:p>
    <w:p>
      <w:pPr>
        <w:spacing w:after="60"/>
        <w:ind w:firstLine="567"/>
        <w:jc w:val="both"/>
      </w:pPr>
      <w:r>
        <w:rPr>
          <w:rFonts w:ascii="Arial" w:cs="Arial" w:eastAsia="Arial" w:hAnsi="Arial"/>
          <w:sz w:val="24"/>
          <w:szCs w:val="24"/>
        </w:rPr>
        <w:t xml:space="preserve">9) предприятия по производству молока и молочной продукции, муки и хлеба, в том числе мини-мельницы, маслобойки, мини-пекарни, цеха по производству мороженого;</w:t>
      </w:r>
    </w:p>
    <w:p>
      <w:pPr>
        <w:spacing w:after="60"/>
        <w:ind w:firstLine="567"/>
        <w:jc w:val="both"/>
      </w:pPr>
      <w:r>
        <w:rPr>
          <w:rFonts w:ascii="Arial" w:cs="Arial" w:eastAsia="Arial" w:hAnsi="Arial"/>
          <w:sz w:val="24"/>
          <w:szCs w:val="24"/>
        </w:rPr>
        <w:t xml:space="preserve">10) предприятия по производству безалкогольных напитков;</w:t>
      </w:r>
    </w:p>
    <w:p>
      <w:pPr>
        <w:spacing w:after="60"/>
        <w:ind w:firstLine="567"/>
        <w:jc w:val="both"/>
      </w:pPr>
      <w:r>
        <w:rPr>
          <w:rFonts w:ascii="Arial" w:cs="Arial" w:eastAsia="Arial" w:hAnsi="Arial"/>
          <w:sz w:val="24"/>
          <w:szCs w:val="24"/>
        </w:rPr>
        <w:t xml:space="preserve">11) предприятия пищевой и легкой промышленности, в том числе кондитерские и швейные цеха;</w:t>
      </w:r>
    </w:p>
    <w:p>
      <w:pPr>
        <w:spacing w:after="60"/>
        <w:ind w:firstLine="567"/>
        <w:jc w:val="both"/>
      </w:pPr>
      <w:r>
        <w:rPr>
          <w:rFonts w:ascii="Arial" w:cs="Arial" w:eastAsia="Arial" w:hAnsi="Arial"/>
          <w:sz w:val="24"/>
          <w:szCs w:val="24"/>
        </w:rPr>
        <w:t xml:space="preserve">12) предприятия по переработке мяса, птицы, рыбы и плодоовощной продукции;</w:t>
      </w:r>
    </w:p>
    <w:p>
      <w:pPr>
        <w:spacing w:after="60"/>
        <w:ind w:firstLine="567"/>
        <w:jc w:val="both"/>
      </w:pPr>
      <w:r>
        <w:rPr>
          <w:rFonts w:ascii="Arial" w:cs="Arial" w:eastAsia="Arial" w:hAnsi="Arial"/>
          <w:sz w:val="24"/>
          <w:szCs w:val="24"/>
        </w:rPr>
        <w:t xml:space="preserve">13) мастерские по обработке кожи, дерева и металла;</w:t>
      </w:r>
    </w:p>
    <w:p>
      <w:pPr>
        <w:spacing w:after="60"/>
        <w:ind w:firstLine="567"/>
        <w:jc w:val="both"/>
      </w:pPr>
      <w:r>
        <w:rPr>
          <w:rFonts w:ascii="Arial" w:cs="Arial" w:eastAsia="Arial" w:hAnsi="Arial"/>
          <w:sz w:val="24"/>
          <w:szCs w:val="24"/>
        </w:rPr>
        <w:t xml:space="preserve">14) предприятия по производству растительного масла;</w:t>
      </w:r>
    </w:p>
    <w:p>
      <w:pPr>
        <w:spacing w:after="60"/>
        <w:ind w:firstLine="567"/>
        <w:jc w:val="both"/>
      </w:pPr>
      <w:r>
        <w:rPr>
          <w:rFonts w:ascii="Arial" w:cs="Arial" w:eastAsia="Arial" w:hAnsi="Arial"/>
          <w:sz w:val="24"/>
          <w:szCs w:val="24"/>
        </w:rPr>
        <w:t xml:space="preserve">15) ремонтно-механические заводы и другие промышленные предприятия;</w:t>
      </w:r>
    </w:p>
    <w:p>
      <w:pPr>
        <w:spacing w:after="60"/>
        <w:ind w:firstLine="567"/>
        <w:jc w:val="both"/>
      </w:pPr>
      <w:r>
        <w:rPr>
          <w:rFonts w:ascii="Arial" w:cs="Arial" w:eastAsia="Arial" w:hAnsi="Arial"/>
          <w:sz w:val="24"/>
          <w:szCs w:val="24"/>
        </w:rPr>
        <w:t xml:space="preserve">16) склады, базы и цеха промышленных предприятий;</w:t>
      </w:r>
    </w:p>
    <w:p>
      <w:pPr>
        <w:spacing w:after="60"/>
        <w:ind w:firstLine="567"/>
        <w:jc w:val="both"/>
      </w:pPr>
      <w:r>
        <w:rPr>
          <w:rFonts w:ascii="Arial" w:cs="Arial" w:eastAsia="Arial" w:hAnsi="Arial"/>
          <w:sz w:val="24"/>
          <w:szCs w:val="24"/>
        </w:rPr>
        <w:t xml:space="preserve">17) фасовочные и тароремонтные предприятия и организации;</w:t>
      </w:r>
    </w:p>
    <w:p>
      <w:pPr>
        <w:spacing w:after="60"/>
        <w:ind w:firstLine="567"/>
        <w:jc w:val="both"/>
      </w:pPr>
      <w:r>
        <w:rPr>
          <w:rFonts w:ascii="Arial" w:cs="Arial" w:eastAsia="Arial" w:hAnsi="Arial"/>
          <w:sz w:val="24"/>
          <w:szCs w:val="24"/>
        </w:rPr>
        <w:t xml:space="preserve">18) предприятия по производству цемента и цементной продукции;</w:t>
      </w:r>
    </w:p>
    <w:p>
      <w:pPr>
        <w:spacing w:after="60"/>
        <w:ind w:firstLine="567"/>
        <w:jc w:val="both"/>
      </w:pPr>
      <w:r>
        <w:rPr>
          <w:rFonts w:ascii="Arial" w:cs="Arial" w:eastAsia="Arial" w:hAnsi="Arial"/>
          <w:sz w:val="24"/>
          <w:szCs w:val="24"/>
        </w:rPr>
        <w:t xml:space="preserve">19) предприятия по производству металлической литейной продукции;</w:t>
      </w:r>
    </w:p>
    <w:p>
      <w:pPr>
        <w:spacing w:after="60"/>
        <w:ind w:firstLine="567"/>
        <w:jc w:val="both"/>
      </w:pPr>
      <w:r>
        <w:rPr>
          <w:rFonts w:ascii="Arial" w:cs="Arial" w:eastAsia="Arial" w:hAnsi="Arial"/>
          <w:sz w:val="24"/>
          <w:szCs w:val="24"/>
        </w:rPr>
        <w:t xml:space="preserve">20) предприятия по производству металлической плавильной продукции;</w:t>
      </w:r>
    </w:p>
    <w:p>
      <w:pPr>
        <w:spacing w:after="60"/>
        <w:ind w:firstLine="567"/>
        <w:jc w:val="both"/>
      </w:pPr>
      <w:r>
        <w:rPr>
          <w:rFonts w:ascii="Arial" w:cs="Arial" w:eastAsia="Arial" w:hAnsi="Arial"/>
          <w:sz w:val="24"/>
          <w:szCs w:val="24"/>
        </w:rPr>
        <w:t xml:space="preserve">21) предприятия по производству по металлопрокату (горячему и холодному);</w:t>
      </w:r>
    </w:p>
    <w:p>
      <w:pPr>
        <w:spacing w:after="60"/>
        <w:ind w:firstLine="567"/>
        <w:jc w:val="both"/>
      </w:pPr>
      <w:r>
        <w:rPr>
          <w:rFonts w:ascii="Arial" w:cs="Arial" w:eastAsia="Arial" w:hAnsi="Arial"/>
          <w:sz w:val="24"/>
          <w:szCs w:val="24"/>
        </w:rPr>
        <w:t xml:space="preserve">22) крестьянские и фермерские хозяйства;</w:t>
      </w:r>
    </w:p>
    <w:p>
      <w:pPr>
        <w:spacing w:after="60"/>
        <w:ind w:firstLine="567"/>
        <w:jc w:val="both"/>
      </w:pPr>
      <w:r>
        <w:rPr>
          <w:rFonts w:ascii="Arial" w:cs="Arial" w:eastAsia="Arial" w:hAnsi="Arial"/>
          <w:sz w:val="24"/>
          <w:szCs w:val="24"/>
        </w:rPr>
        <w:t xml:space="preserve">23) животноводческие комплексы, кошары и предприятия по производству сельскохозяйственной продукции;</w:t>
      </w:r>
    </w:p>
    <w:p>
      <w:pPr>
        <w:spacing w:after="60"/>
        <w:ind w:firstLine="567"/>
        <w:jc w:val="both"/>
      </w:pPr>
      <w:r>
        <w:rPr>
          <w:rFonts w:ascii="Arial" w:cs="Arial" w:eastAsia="Arial" w:hAnsi="Arial"/>
          <w:sz w:val="24"/>
          <w:szCs w:val="24"/>
        </w:rPr>
        <w:t xml:space="preserve">24) самостоятельные или состоящие при кооперативных организациях и учреждениях подсобные сельские хозяйства;</w:t>
      </w:r>
    </w:p>
    <w:p>
      <w:pPr>
        <w:spacing w:after="60"/>
        <w:ind w:firstLine="567"/>
        <w:jc w:val="both"/>
      </w:pPr>
      <w:r>
        <w:rPr>
          <w:rFonts w:ascii="Arial" w:cs="Arial" w:eastAsia="Arial" w:hAnsi="Arial"/>
          <w:sz w:val="24"/>
          <w:szCs w:val="24"/>
        </w:rPr>
        <w:t xml:space="preserve">25) тепличные и теплично-парниковые хозяйства;</w:t>
      </w:r>
    </w:p>
    <w:p>
      <w:pPr>
        <w:spacing w:after="60"/>
        <w:ind w:firstLine="567"/>
        <w:jc w:val="both"/>
      </w:pPr>
      <w:r>
        <w:rPr>
          <w:rFonts w:ascii="Arial" w:cs="Arial" w:eastAsia="Arial" w:hAnsi="Arial"/>
          <w:sz w:val="24"/>
          <w:szCs w:val="24"/>
        </w:rPr>
        <w:t xml:space="preserve">26) кормовые и откормочные хозяйства (пункты), кормовые хозяйства госплемстанций, конные заводы, племенные заводы (хозяйства), животноводческие племенные питомники, станции (пункты), объединения по заготовке племенного скота;</w:t>
      </w:r>
    </w:p>
    <w:p>
      <w:pPr>
        <w:spacing w:after="60"/>
        <w:ind w:firstLine="567"/>
        <w:jc w:val="both"/>
      </w:pPr>
      <w:r>
        <w:rPr>
          <w:rFonts w:ascii="Arial" w:cs="Arial" w:eastAsia="Arial" w:hAnsi="Arial"/>
          <w:sz w:val="24"/>
          <w:szCs w:val="24"/>
        </w:rPr>
        <w:t xml:space="preserve">27) гренажные заводы, коконосушилки, племенные шелковичные станции;</w:t>
      </w:r>
    </w:p>
    <w:p>
      <w:pPr>
        <w:spacing w:after="60"/>
        <w:ind w:firstLine="567"/>
        <w:jc w:val="both"/>
      </w:pPr>
      <w:r>
        <w:rPr>
          <w:rFonts w:ascii="Arial" w:cs="Arial" w:eastAsia="Arial" w:hAnsi="Arial"/>
          <w:sz w:val="24"/>
          <w:szCs w:val="24"/>
        </w:rPr>
        <w:t xml:space="preserve">28) птицефабрики, инкубаторные птицеводческие станции, племптицезаводы (хозяйства);</w:t>
      </w:r>
    </w:p>
    <w:p>
      <w:pPr>
        <w:spacing w:after="60"/>
        <w:ind w:firstLine="567"/>
        <w:jc w:val="both"/>
      </w:pPr>
      <w:r>
        <w:rPr>
          <w:rFonts w:ascii="Arial" w:cs="Arial" w:eastAsia="Arial" w:hAnsi="Arial"/>
          <w:sz w:val="24"/>
          <w:szCs w:val="24"/>
        </w:rPr>
        <w:t xml:space="preserve">29) рыборазводные заводы (хозяйства), рыбхозы, рыбоводно-мелиоративные станции, рыбопитомники, рыбные пункты;</w:t>
      </w:r>
    </w:p>
    <w:p>
      <w:pPr>
        <w:spacing w:after="60"/>
        <w:ind w:firstLine="567"/>
        <w:jc w:val="both"/>
      </w:pPr>
      <w:r>
        <w:rPr>
          <w:rFonts w:ascii="Arial" w:cs="Arial" w:eastAsia="Arial" w:hAnsi="Arial"/>
          <w:sz w:val="24"/>
          <w:szCs w:val="24"/>
        </w:rPr>
        <w:t xml:space="preserve">30) пчелопитомники и пчелопасеки;</w:t>
      </w:r>
    </w:p>
    <w:p>
      <w:pPr>
        <w:spacing w:after="60"/>
        <w:ind w:firstLine="567"/>
        <w:jc w:val="both"/>
      </w:pPr>
      <w:r>
        <w:rPr>
          <w:rFonts w:ascii="Arial" w:cs="Arial" w:eastAsia="Arial" w:hAnsi="Arial"/>
          <w:sz w:val="24"/>
          <w:szCs w:val="24"/>
        </w:rPr>
        <w:t xml:space="preserve">31) сортоиспытательные участки сельскохозяйственных культур;</w:t>
      </w:r>
    </w:p>
    <w:p>
      <w:pPr>
        <w:spacing w:after="60"/>
        <w:ind w:firstLine="567"/>
        <w:jc w:val="both"/>
      </w:pPr>
      <w:r>
        <w:rPr>
          <w:rFonts w:ascii="Arial" w:cs="Arial" w:eastAsia="Arial" w:hAnsi="Arial"/>
          <w:sz w:val="24"/>
          <w:szCs w:val="24"/>
        </w:rPr>
        <w:t xml:space="preserve">32) сельскохозяйственные предприятия (хозяйства) по выращиванию лекарственного и технического сырья;</w:t>
      </w:r>
    </w:p>
    <w:p>
      <w:pPr>
        <w:spacing w:after="60"/>
        <w:ind w:firstLine="567"/>
        <w:jc w:val="both"/>
      </w:pPr>
      <w:r>
        <w:rPr>
          <w:rFonts w:ascii="Arial" w:cs="Arial" w:eastAsia="Arial" w:hAnsi="Arial"/>
          <w:sz w:val="24"/>
          <w:szCs w:val="24"/>
        </w:rPr>
        <w:t xml:space="preserve">33) станции защиты растений, экспедиции и отряды по борьбе с вредителями и болезнями растений;</w:t>
      </w:r>
    </w:p>
    <w:p>
      <w:pPr>
        <w:spacing w:after="60"/>
        <w:ind w:firstLine="567"/>
        <w:jc w:val="both"/>
      </w:pPr>
      <w:r>
        <w:rPr>
          <w:rFonts w:ascii="Arial" w:cs="Arial" w:eastAsia="Arial" w:hAnsi="Arial"/>
          <w:sz w:val="24"/>
          <w:szCs w:val="24"/>
        </w:rPr>
        <w:t xml:space="preserve">34) биофабрики и биокомбинаты;</w:t>
      </w:r>
    </w:p>
    <w:p>
      <w:pPr>
        <w:spacing w:after="60"/>
        <w:ind w:firstLine="567"/>
        <w:jc w:val="both"/>
      </w:pPr>
      <w:r>
        <w:rPr>
          <w:rFonts w:ascii="Arial" w:cs="Arial" w:eastAsia="Arial" w:hAnsi="Arial"/>
          <w:sz w:val="24"/>
          <w:szCs w:val="24"/>
        </w:rPr>
        <w:t xml:space="preserve">35) лесхозы, лесничества, лесопитомники, заповедники, охотничьи хозяйства, питомники пушных зверей, собак, хозяйства по выращиванию крольчат, звероводческие хозяйства;</w:t>
      </w:r>
    </w:p>
    <w:p>
      <w:pPr>
        <w:spacing w:after="60"/>
        <w:ind w:firstLine="567"/>
        <w:jc w:val="both"/>
      </w:pPr>
      <w:r>
        <w:rPr>
          <w:rFonts w:ascii="Arial" w:cs="Arial" w:eastAsia="Arial" w:hAnsi="Arial"/>
          <w:sz w:val="24"/>
          <w:szCs w:val="24"/>
        </w:rPr>
        <w:t xml:space="preserve">36) ветеринарные лаборатории (участки, пункты), станции по борьбе с болезнями животных, мясомолочные и пищевые контрольные станции;</w:t>
      </w:r>
    </w:p>
    <w:p>
      <w:pPr>
        <w:spacing w:after="60"/>
        <w:ind w:firstLine="567"/>
        <w:jc w:val="both"/>
      </w:pPr>
      <w:r>
        <w:rPr>
          <w:rFonts w:ascii="Arial" w:cs="Arial" w:eastAsia="Arial" w:hAnsi="Arial"/>
          <w:sz w:val="24"/>
          <w:szCs w:val="24"/>
        </w:rPr>
        <w:t xml:space="preserve">37) обводнительные и осушительные системы и их эксплуатационные участки.</w:t>
      </w:r>
    </w:p>
    <w:p>
      <w:pPr>
        <w:spacing w:after="200" w:before="200"/>
        <w:jc w:val="center"/>
      </w:pPr>
      <w:r>
        <w:rPr>
          <w:rFonts w:ascii="Arial" w:cs="Arial" w:eastAsia="Arial" w:hAnsi="Arial"/>
          <w:b/>
          <w:bCs/>
          <w:sz w:val="32"/>
          <w:szCs w:val="32"/>
        </w:rPr>
        <w:t xml:space="preserve">Глава 9. Применение тарифов на электрическую энергию, отпускаемую группе "Коммерческие потребители"</w:t>
      </w:r>
    </w:p>
    <w:p>
      <w:pPr>
        <w:spacing w:after="60"/>
        <w:ind w:firstLine="567"/>
        <w:jc w:val="both"/>
      </w:pPr>
      <w:r>
        <w:rPr>
          <w:rFonts w:ascii="Arial" w:cs="Arial" w:eastAsia="Arial" w:hAnsi="Arial"/>
          <w:sz w:val="24"/>
          <w:szCs w:val="24"/>
        </w:rPr>
        <w:t xml:space="preserve">46. Отпуск электрической энергии всем коммерческим и прочим потребителям,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47. Отпуск электрической энергии коммерческим потребителям, использующим электрическую энергию в банях, саунах, а также для приготовления пищи на стационарных электрических приборах (плиты, печи и другие),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48. Расчет за электрическую энергию, отпущенную коммерческим потребителям, не относящимся к другим группам, производится по действующим тарифам, независимо от типа ввода и целей использования электроэнергии.</w:t>
      </w:r>
    </w:p>
    <w:p>
      <w:pPr>
        <w:spacing w:after="60"/>
        <w:ind w:firstLine="567"/>
        <w:jc w:val="both"/>
      </w:pPr>
      <w:r>
        <w:rPr>
          <w:rFonts w:ascii="Arial" w:cs="Arial" w:eastAsia="Arial" w:hAnsi="Arial"/>
          <w:sz w:val="24"/>
          <w:szCs w:val="24"/>
        </w:rPr>
        <w:t xml:space="preserve">49. Плата потребителями группы "Коммерческие потребители" за потребленную электроэнергию производится по тарифу, указанному в пункте 5 </w:t>
      </w:r>
      <w:hyperlink w:history="1" r:id="rIdrowfbjtgvsfqb87czyb6v">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50. К группе "Коммерческие потребители" относятся:</w:t>
      </w:r>
    </w:p>
    <w:p>
      <w:pPr>
        <w:spacing w:after="60"/>
        <w:ind w:firstLine="567"/>
        <w:jc w:val="both"/>
      </w:pPr>
      <w:r>
        <w:rPr>
          <w:rFonts w:ascii="Arial" w:cs="Arial" w:eastAsia="Arial" w:hAnsi="Arial"/>
          <w:sz w:val="24"/>
          <w:szCs w:val="24"/>
        </w:rPr>
        <w:t xml:space="preserve">1) средства массовой информации (редакции газет, журналов и другие);</w:t>
      </w:r>
    </w:p>
    <w:p>
      <w:pPr>
        <w:spacing w:after="60"/>
        <w:ind w:firstLine="567"/>
        <w:jc w:val="both"/>
      </w:pPr>
      <w:r>
        <w:rPr>
          <w:rFonts w:ascii="Arial" w:cs="Arial" w:eastAsia="Arial" w:hAnsi="Arial"/>
          <w:sz w:val="24"/>
          <w:szCs w:val="24"/>
        </w:rPr>
        <w:t xml:space="preserve">2) рекламные агентства, агентства недвижимости;</w:t>
      </w:r>
    </w:p>
    <w:p>
      <w:pPr>
        <w:spacing w:after="60"/>
        <w:ind w:firstLine="567"/>
        <w:jc w:val="both"/>
      </w:pPr>
      <w:r>
        <w:rPr>
          <w:rFonts w:ascii="Arial" w:cs="Arial" w:eastAsia="Arial" w:hAnsi="Arial"/>
          <w:sz w:val="24"/>
          <w:szCs w:val="24"/>
        </w:rPr>
        <w:t xml:space="preserve">3) банки, ломбарды, микрокредитные организации и другие финансово-кредитные учреждения, за исключением Национального банка Кыргызской Республики;</w:t>
      </w:r>
    </w:p>
    <w:p>
      <w:pPr>
        <w:spacing w:after="60"/>
        <w:ind w:firstLine="567"/>
        <w:jc w:val="both"/>
      </w:pPr>
      <w:r>
        <w:rPr>
          <w:rFonts w:ascii="Arial" w:cs="Arial" w:eastAsia="Arial" w:hAnsi="Arial"/>
          <w:sz w:val="24"/>
          <w:szCs w:val="24"/>
        </w:rPr>
        <w:t xml:space="preserve">4) склады и базы сбытовых и снабженческих организаций по оптовым поставкам оборудования, машин, приборов, нефтепродуктов и другой продукции производственного и строительного назначения, а также базы материально-технического снабжения и торговых организаций;</w:t>
      </w:r>
    </w:p>
    <w:p>
      <w:pPr>
        <w:spacing w:after="60"/>
        <w:ind w:firstLine="567"/>
        <w:jc w:val="both"/>
      </w:pPr>
      <w:r>
        <w:rPr>
          <w:rFonts w:ascii="Arial" w:cs="Arial" w:eastAsia="Arial" w:hAnsi="Arial"/>
          <w:sz w:val="24"/>
          <w:szCs w:val="24"/>
        </w:rPr>
        <w:t xml:space="preserve">5) общественные, правозащитные организации и объединения;</w:t>
      </w:r>
    </w:p>
    <w:p>
      <w:pPr>
        <w:spacing w:after="60"/>
        <w:ind w:firstLine="567"/>
        <w:jc w:val="both"/>
      </w:pPr>
      <w:r>
        <w:rPr>
          <w:rFonts w:ascii="Arial" w:cs="Arial" w:eastAsia="Arial" w:hAnsi="Arial"/>
          <w:sz w:val="24"/>
          <w:szCs w:val="24"/>
        </w:rPr>
        <w:t xml:space="preserve">6) жилищно-эксплуатационные управления, ТСЖ, ЖСК и другие юридические формы объединения жильцов (включая собственные нужды);</w:t>
      </w:r>
    </w:p>
    <w:p>
      <w:pPr>
        <w:spacing w:after="60"/>
        <w:ind w:firstLine="567"/>
        <w:jc w:val="both"/>
      </w:pPr>
      <w:r>
        <w:rPr>
          <w:rFonts w:ascii="Arial" w:cs="Arial" w:eastAsia="Arial" w:hAnsi="Arial"/>
          <w:sz w:val="24"/>
          <w:szCs w:val="24"/>
        </w:rPr>
        <w:t xml:space="preserve">7) научно-исследовательские, проектные и изыскательские институты, вычислительные центры, лаборатории, конструкторские бюро, другие научно-исследовательские и проектно-изыскательские учреждения;</w:t>
      </w:r>
    </w:p>
    <w:p>
      <w:pPr>
        <w:spacing w:after="60"/>
        <w:ind w:firstLine="567"/>
        <w:jc w:val="both"/>
      </w:pPr>
      <w:r>
        <w:rPr>
          <w:rFonts w:ascii="Arial" w:cs="Arial" w:eastAsia="Arial" w:hAnsi="Arial"/>
          <w:sz w:val="24"/>
          <w:szCs w:val="24"/>
        </w:rPr>
        <w:t xml:space="preserve">8) железнодорожные вокзалы, пристани, автовокзалы, аэровокзалы, аэродромы, аэропорты, автобусные станции;</w:t>
      </w:r>
    </w:p>
    <w:p>
      <w:pPr>
        <w:spacing w:after="60"/>
        <w:ind w:firstLine="567"/>
        <w:jc w:val="both"/>
      </w:pPr>
      <w:r>
        <w:rPr>
          <w:rFonts w:ascii="Arial" w:cs="Arial" w:eastAsia="Arial" w:hAnsi="Arial"/>
          <w:sz w:val="24"/>
          <w:szCs w:val="24"/>
        </w:rPr>
        <w:t xml:space="preserve">9) гаражи и гаражно-строительные кооперативы для личных автомашин, автопарки, автостоянки, автозаправочные станции, авторемонтные мастерские, станции технического обслуживания, автомойки;</w:t>
      </w:r>
    </w:p>
    <w:p>
      <w:pPr>
        <w:spacing w:after="60"/>
        <w:ind w:firstLine="567"/>
        <w:jc w:val="both"/>
      </w:pPr>
      <w:r>
        <w:rPr>
          <w:rFonts w:ascii="Arial" w:cs="Arial" w:eastAsia="Arial" w:hAnsi="Arial"/>
          <w:sz w:val="24"/>
          <w:szCs w:val="24"/>
        </w:rPr>
        <w:t xml:space="preserve">10) все предприятия бытового обслуживания населения, парикмахерские, фотоателье, ателье и мастерские по ремонту одежды, обуви, предметов культурно-бытового назначения и хозяйственного обихода, химчистки и прачечные, прокатные пункты, бани, сауны, душевые и другие предприятия бытового обслуживания;</w:t>
      </w:r>
    </w:p>
    <w:p>
      <w:pPr>
        <w:spacing w:after="60"/>
        <w:ind w:firstLine="567"/>
        <w:jc w:val="both"/>
      </w:pPr>
      <w:r>
        <w:rPr>
          <w:rFonts w:ascii="Arial" w:cs="Arial" w:eastAsia="Arial" w:hAnsi="Arial"/>
          <w:sz w:val="24"/>
          <w:szCs w:val="24"/>
        </w:rPr>
        <w:t xml:space="preserve">11) частные больницы, поликлиники, профилактории, консультации, родильные дома, санатории и другие лечебные заведения;</w:t>
      </w:r>
    </w:p>
    <w:p>
      <w:pPr>
        <w:spacing w:after="60"/>
        <w:ind w:firstLine="567"/>
        <w:jc w:val="both"/>
      </w:pPr>
      <w:r>
        <w:rPr>
          <w:rFonts w:ascii="Arial" w:cs="Arial" w:eastAsia="Arial" w:hAnsi="Arial"/>
          <w:sz w:val="24"/>
          <w:szCs w:val="24"/>
        </w:rPr>
        <w:t xml:space="preserve">12) частные школы, высшие и средние профессиональные учебные заведения (техникумы, училища и другие учебные заведения);</w:t>
      </w:r>
    </w:p>
    <w:p>
      <w:pPr>
        <w:spacing w:after="60"/>
        <w:ind w:firstLine="567"/>
        <w:jc w:val="both"/>
      </w:pPr>
      <w:r>
        <w:rPr>
          <w:rFonts w:ascii="Arial" w:cs="Arial" w:eastAsia="Arial" w:hAnsi="Arial"/>
          <w:sz w:val="24"/>
          <w:szCs w:val="24"/>
        </w:rPr>
        <w:t xml:space="preserve">13) частные детские сады и ясли, лагеря отдыха и другие детские учреждения;</w:t>
      </w:r>
    </w:p>
    <w:p>
      <w:pPr>
        <w:spacing w:after="60"/>
        <w:ind w:firstLine="567"/>
        <w:jc w:val="both"/>
      </w:pPr>
      <w:r>
        <w:rPr>
          <w:rFonts w:ascii="Arial" w:cs="Arial" w:eastAsia="Arial" w:hAnsi="Arial"/>
          <w:sz w:val="24"/>
          <w:szCs w:val="24"/>
        </w:rPr>
        <w:t xml:space="preserve">14) гостиницы, дома отдыха, пансионаты, мотели, кемпинги, туристические базы и спортивно-оздоровительные комплексы, гостевые дома, хостелы;</w:t>
      </w:r>
    </w:p>
    <w:p>
      <w:pPr>
        <w:spacing w:after="60"/>
        <w:ind w:firstLine="567"/>
        <w:jc w:val="both"/>
      </w:pPr>
      <w:r>
        <w:rPr>
          <w:rFonts w:ascii="Arial" w:cs="Arial" w:eastAsia="Arial" w:hAnsi="Arial"/>
          <w:sz w:val="24"/>
          <w:szCs w:val="24"/>
        </w:rPr>
        <w:t xml:space="preserve">15) частные киностудии, театры, концертные залы, кинотеатры, цирки и другие частные зрелищные предприятия;</w:t>
      </w:r>
    </w:p>
    <w:p>
      <w:pPr>
        <w:spacing w:after="60"/>
        <w:ind w:firstLine="567"/>
        <w:jc w:val="both"/>
      </w:pPr>
      <w:r>
        <w:rPr>
          <w:rFonts w:ascii="Arial" w:cs="Arial" w:eastAsia="Arial" w:hAnsi="Arial"/>
          <w:sz w:val="24"/>
          <w:szCs w:val="24"/>
        </w:rPr>
        <w:t xml:space="preserve">16) частные музеи, выставки, библиотеки, читальни, лектории, планетарии, клубы, дома культуры и другие культурно-просветительные учреждения;</w:t>
      </w:r>
    </w:p>
    <w:p>
      <w:pPr>
        <w:spacing w:after="60"/>
        <w:ind w:firstLine="567"/>
        <w:jc w:val="both"/>
      </w:pPr>
      <w:r>
        <w:rPr>
          <w:rFonts w:ascii="Arial" w:cs="Arial" w:eastAsia="Arial" w:hAnsi="Arial"/>
          <w:sz w:val="24"/>
          <w:szCs w:val="24"/>
        </w:rPr>
        <w:t xml:space="preserve">17) частные парки культуры и отдыха, сады, ботанические сады, зоопарки;</w:t>
      </w:r>
    </w:p>
    <w:p>
      <w:pPr>
        <w:spacing w:after="60"/>
        <w:ind w:firstLine="567"/>
        <w:jc w:val="both"/>
      </w:pPr>
      <w:r>
        <w:rPr>
          <w:rFonts w:ascii="Arial" w:cs="Arial" w:eastAsia="Arial" w:hAnsi="Arial"/>
          <w:sz w:val="24"/>
          <w:szCs w:val="24"/>
        </w:rPr>
        <w:t xml:space="preserve">18) частные стадионы, ипподромы, плавательные бассейны, спортивные залы и другие спортивные сооружения;</w:t>
      </w:r>
    </w:p>
    <w:p>
      <w:pPr>
        <w:spacing w:after="60"/>
        <w:ind w:firstLine="567"/>
        <w:jc w:val="both"/>
      </w:pPr>
      <w:r>
        <w:rPr>
          <w:rFonts w:ascii="Arial" w:cs="Arial" w:eastAsia="Arial" w:hAnsi="Arial"/>
          <w:sz w:val="24"/>
          <w:szCs w:val="24"/>
        </w:rPr>
        <w:t xml:space="preserve">19) магазины всех видов, бутики, салоны, торговые комплексы, аптеки, обменные бюро, офисные центры;</w:t>
      </w:r>
    </w:p>
    <w:p>
      <w:pPr>
        <w:spacing w:after="60"/>
        <w:ind w:firstLine="567"/>
        <w:jc w:val="both"/>
      </w:pPr>
      <w:r>
        <w:rPr>
          <w:rFonts w:ascii="Arial" w:cs="Arial" w:eastAsia="Arial" w:hAnsi="Arial"/>
          <w:sz w:val="24"/>
          <w:szCs w:val="24"/>
        </w:rPr>
        <w:t xml:space="preserve">20) ларьки, палатки, автолавки, рынки, ярмарки, базары, сезонные торговые павильоны, киоски всех видов, домовые лавки;</w:t>
      </w:r>
    </w:p>
    <w:p>
      <w:pPr>
        <w:spacing w:after="60"/>
        <w:ind w:firstLine="567"/>
        <w:jc w:val="both"/>
      </w:pPr>
      <w:r>
        <w:rPr>
          <w:rFonts w:ascii="Arial" w:cs="Arial" w:eastAsia="Arial" w:hAnsi="Arial"/>
          <w:sz w:val="24"/>
          <w:szCs w:val="24"/>
        </w:rPr>
        <w:t xml:space="preserve">21) торговые склады, базы мелкой розницы, оптовые базы торговых организаций, овощехранилища, овощные и плодоовощные базы;</w:t>
      </w:r>
    </w:p>
    <w:p>
      <w:pPr>
        <w:spacing w:after="60"/>
        <w:ind w:firstLine="567"/>
        <w:jc w:val="both"/>
      </w:pPr>
      <w:r>
        <w:rPr>
          <w:rFonts w:ascii="Arial" w:cs="Arial" w:eastAsia="Arial" w:hAnsi="Arial"/>
          <w:sz w:val="24"/>
          <w:szCs w:val="24"/>
        </w:rPr>
        <w:t xml:space="preserve">22) столовые, закусочные, кафе, бары, чайные, кофейни, рестораны, буфеты, фабрики-кухни, комбинаты полуфабрикатов, домовые кухни;</w:t>
      </w:r>
    </w:p>
    <w:p>
      <w:pPr>
        <w:spacing w:after="60"/>
        <w:ind w:firstLine="567"/>
        <w:jc w:val="both"/>
      </w:pPr>
      <w:r>
        <w:rPr>
          <w:rFonts w:ascii="Arial" w:cs="Arial" w:eastAsia="Arial" w:hAnsi="Arial"/>
          <w:sz w:val="24"/>
          <w:szCs w:val="24"/>
        </w:rPr>
        <w:t xml:space="preserve">23) залы игровых автоматов, интернет-кафе и другие развлекательные заведения;</w:t>
      </w:r>
    </w:p>
    <w:p>
      <w:pPr>
        <w:spacing w:after="60"/>
        <w:ind w:firstLine="567"/>
        <w:jc w:val="both"/>
      </w:pPr>
      <w:r>
        <w:rPr>
          <w:rFonts w:ascii="Arial" w:cs="Arial" w:eastAsia="Arial" w:hAnsi="Arial"/>
          <w:sz w:val="24"/>
          <w:szCs w:val="24"/>
        </w:rPr>
        <w:t xml:space="preserve">24) предприятия розничной торговой сети и общественного питания, независимо от формы собственности, непосредственно производящие продажу продовольственных, промышленных товаров, полуфабрикатов, а также отпуск блюд и напитков;</w:t>
      </w:r>
    </w:p>
    <w:p>
      <w:pPr>
        <w:spacing w:after="60"/>
        <w:ind w:firstLine="567"/>
        <w:jc w:val="both"/>
      </w:pPr>
      <w:r>
        <w:rPr>
          <w:rFonts w:ascii="Arial" w:cs="Arial" w:eastAsia="Arial" w:hAnsi="Arial"/>
          <w:sz w:val="24"/>
          <w:szCs w:val="24"/>
        </w:rPr>
        <w:t xml:space="preserve">25) другие потребители, не входящие ни в одну из вышеуказанных тарифных групп.</w:t>
      </w:r>
    </w:p>
    <w:p>
      <w:pPr>
        <w:spacing w:after="200" w:before="200"/>
        <w:jc w:val="center"/>
      </w:pPr>
      <w:r>
        <w:rPr>
          <w:rFonts w:ascii="Arial" w:cs="Arial" w:eastAsia="Arial" w:hAnsi="Arial"/>
          <w:b/>
          <w:bCs/>
          <w:sz w:val="32"/>
          <w:szCs w:val="32"/>
        </w:rPr>
        <w:t xml:space="preserve">Глава 10. Применение тарифов на электрическую энергию для группы "Бюджетные потребители (потребители, финансируемые из республиканского и/или местного бюджетов)"</w:t>
      </w:r>
    </w:p>
    <w:p>
      <w:pPr>
        <w:spacing w:after="60"/>
        <w:ind w:firstLine="567"/>
        <w:jc w:val="both"/>
      </w:pPr>
      <w:r>
        <w:rPr>
          <w:rFonts w:ascii="Arial" w:cs="Arial" w:eastAsia="Arial" w:hAnsi="Arial"/>
          <w:sz w:val="24"/>
          <w:szCs w:val="24"/>
        </w:rPr>
        <w:t xml:space="preserve">51. Отпуск электрической энергии группе "Бюджетные потребители (потребители, финансируемые из республиканского и/или местного бюджетов)" производится по установленным тарифам, независимо от типа ввода, характера использования электрической энергии.</w:t>
      </w:r>
    </w:p>
    <w:p>
      <w:pPr>
        <w:spacing w:after="60"/>
        <w:ind w:firstLine="567"/>
        <w:jc w:val="both"/>
      </w:pPr>
      <w:r>
        <w:rPr>
          <w:rFonts w:ascii="Arial" w:cs="Arial" w:eastAsia="Arial" w:hAnsi="Arial"/>
          <w:sz w:val="24"/>
          <w:szCs w:val="24"/>
        </w:rPr>
        <w:t xml:space="preserve">52. Плата потребителями данной группы за потребленную электроэнергию производится по тарифу, указанному в пункте 6 </w:t>
      </w:r>
      <w:hyperlink w:history="1" r:id="rIdwccskpkgsvqj2v5ggsq52">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53. При наличии у бюджетного потребителя общежития и подведомственных жилых домов, жилых домов и общежитий казарменного и военно-служебного назначения с отдельным от основного потребителя прибором учета плата за электроэнергию, потребленную такими общежитиями и подведомственными домами, производится по тарифу для группы "Население".</w:t>
      </w:r>
    </w:p>
    <w:p>
      <w:pPr>
        <w:spacing w:after="60"/>
        <w:ind w:firstLine="567"/>
        <w:jc w:val="both"/>
      </w:pPr>
      <w:r>
        <w:rPr>
          <w:rFonts w:ascii="Arial" w:cs="Arial" w:eastAsia="Arial" w:hAnsi="Arial"/>
          <w:sz w:val="24"/>
          <w:szCs w:val="24"/>
        </w:rPr>
        <w:t xml:space="preserve">54. При наличии у бюджетного потребителя насосных станций с отдельным от основного потребителя прибором учета плата за электроэнергию, потребленную такими насосными станциями, производится по тарифу для группы "Социальные и общественные потребители".</w:t>
      </w:r>
    </w:p>
    <w:p>
      <w:pPr>
        <w:spacing w:after="60"/>
        <w:ind w:firstLine="567"/>
        <w:jc w:val="both"/>
      </w:pPr>
      <w:r>
        <w:rPr>
          <w:rFonts w:ascii="Arial" w:cs="Arial" w:eastAsia="Arial" w:hAnsi="Arial"/>
          <w:sz w:val="24"/>
          <w:szCs w:val="24"/>
        </w:rPr>
        <w:t xml:space="preserve">55. В случае сдачи бюджетными потребителями в аренду помещений с отдельным от основного потребителя прибором учета хозяйствующим субъектам, не являющимися бюджетными потребителями, плата за электроэнергию такими арендаторами производится по тарифу, соответствующему их виду деятельности.</w:t>
      </w:r>
    </w:p>
    <w:p>
      <w:pPr>
        <w:spacing w:after="60"/>
        <w:ind w:firstLine="567"/>
        <w:jc w:val="both"/>
      </w:pPr>
      <w:r>
        <w:rPr>
          <w:rFonts w:ascii="Arial" w:cs="Arial" w:eastAsia="Arial" w:hAnsi="Arial"/>
          <w:sz w:val="24"/>
          <w:szCs w:val="24"/>
        </w:rPr>
        <w:t xml:space="preserve">56. К потребителям, финансируемым из республиканского и/или местного бюджета, относятся:</w:t>
      </w:r>
    </w:p>
    <w:p>
      <w:pPr>
        <w:spacing w:after="60"/>
        <w:ind w:firstLine="567"/>
        <w:jc w:val="both"/>
      </w:pPr>
      <w:r>
        <w:rPr>
          <w:rFonts w:ascii="Arial" w:cs="Arial" w:eastAsia="Arial" w:hAnsi="Arial"/>
          <w:sz w:val="24"/>
          <w:szCs w:val="24"/>
        </w:rPr>
        <w:t xml:space="preserve">1) государственные учреждения;</w:t>
      </w:r>
    </w:p>
    <w:p>
      <w:pPr>
        <w:spacing w:after="60"/>
        <w:ind w:firstLine="567"/>
        <w:jc w:val="both"/>
      </w:pPr>
      <w:r>
        <w:rPr>
          <w:rFonts w:ascii="Arial" w:cs="Arial" w:eastAsia="Arial" w:hAnsi="Arial"/>
          <w:sz w:val="24"/>
          <w:szCs w:val="24"/>
        </w:rPr>
        <w:t xml:space="preserve">2) государственные больницы, поликлиники, профилактории, консультации, родильные дома, молочно-раздаточные пункты детского питания;</w:t>
      </w:r>
    </w:p>
    <w:p>
      <w:pPr>
        <w:spacing w:after="60"/>
        <w:ind w:firstLine="567"/>
        <w:jc w:val="both"/>
      </w:pPr>
      <w:r>
        <w:rPr>
          <w:rFonts w:ascii="Arial" w:cs="Arial" w:eastAsia="Arial" w:hAnsi="Arial"/>
          <w:sz w:val="24"/>
          <w:szCs w:val="24"/>
        </w:rPr>
        <w:t xml:space="preserve">3) государственные школы, высшие и средние профессиональные учебные заведения (техникумы, училища и другие учебные заведения);</w:t>
      </w:r>
    </w:p>
    <w:p>
      <w:pPr>
        <w:spacing w:after="60"/>
        <w:ind w:firstLine="567"/>
        <w:jc w:val="both"/>
      </w:pPr>
      <w:r>
        <w:rPr>
          <w:rFonts w:ascii="Arial" w:cs="Arial" w:eastAsia="Arial" w:hAnsi="Arial"/>
          <w:sz w:val="24"/>
          <w:szCs w:val="24"/>
        </w:rPr>
        <w:t xml:space="preserve">4) государственные детские сады и ясли, лагеря отдыха и другие детские учреждения;</w:t>
      </w:r>
    </w:p>
    <w:p>
      <w:pPr>
        <w:spacing w:after="60"/>
        <w:ind w:firstLine="567"/>
        <w:jc w:val="both"/>
      </w:pPr>
      <w:r>
        <w:rPr>
          <w:rFonts w:ascii="Arial" w:cs="Arial" w:eastAsia="Arial" w:hAnsi="Arial"/>
          <w:sz w:val="24"/>
          <w:szCs w:val="24"/>
        </w:rPr>
        <w:t xml:space="preserve">5) государственные киностудии, театры, концертные залы, кинотеатры, цирки и другие зрелищные предприятия;</w:t>
      </w:r>
    </w:p>
    <w:p>
      <w:pPr>
        <w:spacing w:after="60"/>
        <w:ind w:firstLine="567"/>
        <w:jc w:val="both"/>
      </w:pPr>
      <w:r>
        <w:rPr>
          <w:rFonts w:ascii="Arial" w:cs="Arial" w:eastAsia="Arial" w:hAnsi="Arial"/>
          <w:sz w:val="24"/>
          <w:szCs w:val="24"/>
        </w:rPr>
        <w:t xml:space="preserve">6) государственные музеи, выставки, библиотеки, читальни, лектории, планетарии, клубы, дома культуры и другие культурно-просветительные учреждения;</w:t>
      </w:r>
    </w:p>
    <w:p>
      <w:pPr>
        <w:spacing w:after="60"/>
        <w:ind w:firstLine="567"/>
        <w:jc w:val="both"/>
      </w:pPr>
      <w:r>
        <w:rPr>
          <w:rFonts w:ascii="Arial" w:cs="Arial" w:eastAsia="Arial" w:hAnsi="Arial"/>
          <w:sz w:val="24"/>
          <w:szCs w:val="24"/>
        </w:rPr>
        <w:t xml:space="preserve">7) государственные стадионы, ипподромы, плавательные бассейны, спортивные залы и другие спортивные сооружения;</w:t>
      </w:r>
    </w:p>
    <w:p>
      <w:pPr>
        <w:spacing w:after="60"/>
        <w:ind w:firstLine="567"/>
        <w:jc w:val="both"/>
      </w:pPr>
      <w:r>
        <w:rPr>
          <w:rFonts w:ascii="Arial" w:cs="Arial" w:eastAsia="Arial" w:hAnsi="Arial"/>
          <w:sz w:val="24"/>
          <w:szCs w:val="24"/>
        </w:rPr>
        <w:t xml:space="preserve">8) государственные ботанические сады, зоопарки;</w:t>
      </w:r>
    </w:p>
    <w:p>
      <w:pPr>
        <w:spacing w:after="60"/>
        <w:ind w:firstLine="567"/>
        <w:jc w:val="both"/>
      </w:pPr>
      <w:r>
        <w:rPr>
          <w:rFonts w:ascii="Arial" w:cs="Arial" w:eastAsia="Arial" w:hAnsi="Arial"/>
          <w:sz w:val="24"/>
          <w:szCs w:val="24"/>
        </w:rPr>
        <w:t xml:space="preserve">9) войсковые части со всеми службами, военно-учебные заведения со всеми службами;</w:t>
      </w:r>
    </w:p>
    <w:p>
      <w:pPr>
        <w:spacing w:after="60"/>
        <w:ind w:firstLine="567"/>
        <w:jc w:val="both"/>
      </w:pPr>
      <w:r>
        <w:rPr>
          <w:rFonts w:ascii="Arial" w:cs="Arial" w:eastAsia="Arial" w:hAnsi="Arial"/>
          <w:sz w:val="24"/>
          <w:szCs w:val="24"/>
        </w:rPr>
        <w:t xml:space="preserve">10) прочие предприятия, учреждения и организации, подведомственные Министерству обороны Кыргызской Республики, Министерству внутренних дел Кыргызской Республики и органам национальной безопасности;</w:t>
      </w:r>
    </w:p>
    <w:p>
      <w:pPr>
        <w:spacing w:after="60"/>
        <w:ind w:firstLine="567"/>
        <w:jc w:val="both"/>
      </w:pPr>
      <w:r>
        <w:rPr>
          <w:rFonts w:ascii="Arial" w:cs="Arial" w:eastAsia="Arial" w:hAnsi="Arial"/>
          <w:sz w:val="24"/>
          <w:szCs w:val="24"/>
        </w:rPr>
        <w:t xml:space="preserve">11) органы судебной власти;</w:t>
      </w:r>
    </w:p>
    <w:p>
      <w:pPr>
        <w:spacing w:after="60"/>
        <w:ind w:firstLine="567"/>
        <w:jc w:val="both"/>
      </w:pPr>
      <w:r>
        <w:rPr>
          <w:rFonts w:ascii="Arial" w:cs="Arial" w:eastAsia="Arial" w:hAnsi="Arial"/>
          <w:sz w:val="24"/>
          <w:szCs w:val="24"/>
        </w:rPr>
        <w:t xml:space="preserve">12) Национальный банк Кыргызской Республики;</w:t>
      </w:r>
    </w:p>
    <w:p>
      <w:pPr>
        <w:spacing w:after="60"/>
        <w:ind w:firstLine="567"/>
        <w:jc w:val="both"/>
      </w:pPr>
      <w:r>
        <w:rPr>
          <w:rFonts w:ascii="Arial" w:cs="Arial" w:eastAsia="Arial" w:hAnsi="Arial"/>
          <w:sz w:val="24"/>
          <w:szCs w:val="24"/>
        </w:rPr>
        <w:t xml:space="preserve">13) любые потребители, которые могут быть отнесены к другим группам, однако полностью финансируются из республиканского и/или местного бюджета, за исключением потребителей группы "Детские учреждения интернатного типа, социальные стационарные и полу стационарные учреждения для инвалидов и/или пожилых граждан", также должны быть отнесены к данной группе конечных потребителей.</w:t>
      </w:r>
    </w:p>
    <w:p>
      <w:pPr>
        <w:spacing w:after="200" w:before="200"/>
        <w:jc w:val="center"/>
      </w:pPr>
      <w:r>
        <w:rPr>
          <w:rFonts w:ascii="Arial" w:cs="Arial" w:eastAsia="Arial" w:hAnsi="Arial"/>
          <w:b/>
          <w:bCs/>
          <w:sz w:val="32"/>
          <w:szCs w:val="32"/>
        </w:rPr>
        <w:t xml:space="preserve">Глава 11. Применение тарифов на электрическую энергию, отпускаемую группе "Энергоемкие потребители"</w:t>
      </w:r>
    </w:p>
    <w:p>
      <w:pPr>
        <w:spacing w:after="60"/>
        <w:ind w:firstLine="567"/>
        <w:jc w:val="both"/>
      </w:pPr>
      <w:r>
        <w:rPr>
          <w:rFonts w:ascii="Arial" w:cs="Arial" w:eastAsia="Arial" w:hAnsi="Arial"/>
          <w:sz w:val="24"/>
          <w:szCs w:val="24"/>
        </w:rPr>
        <w:t xml:space="preserve">57. Отпуск электрической энергии группе "Энергоемкие потребители" и вспомогательным объектам,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общих с ним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60"/>
        <w:ind w:firstLine="567"/>
        <w:jc w:val="both"/>
      </w:pPr>
      <w:r>
        <w:rPr>
          <w:rFonts w:ascii="Arial" w:cs="Arial" w:eastAsia="Arial" w:hAnsi="Arial"/>
          <w:sz w:val="24"/>
          <w:szCs w:val="24"/>
        </w:rPr>
        <w:t xml:space="preserve">58. Отнесение потребителей электроэнергии в группу "Энергоемкие потребители"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60"/>
        <w:ind w:firstLine="567"/>
        <w:jc w:val="both"/>
      </w:pPr>
      <w:r>
        <w:rPr>
          <w:rFonts w:ascii="Arial" w:cs="Arial" w:eastAsia="Arial" w:hAnsi="Arial"/>
          <w:sz w:val="24"/>
          <w:szCs w:val="24"/>
        </w:rPr>
        <w:t xml:space="preserve">59. Тариф для группы потребителей "Энергоемкие потребители" при потреблении электроэнергии принимается в размере, указанном в пункте 7 </w:t>
      </w:r>
      <w:hyperlink w:history="1" r:id="rIdiucglqhsvm78otlzalpd7">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60. К группе "Энергоемкие потребители" относятся:</w:t>
      </w:r>
    </w:p>
    <w:p>
      <w:pPr>
        <w:spacing w:after="60"/>
        <w:ind w:firstLine="567"/>
        <w:jc w:val="both"/>
      </w:pPr>
      <w:r>
        <w:rPr>
          <w:rFonts w:ascii="Arial" w:cs="Arial" w:eastAsia="Arial" w:hAnsi="Arial"/>
          <w:sz w:val="24"/>
          <w:szCs w:val="24"/>
        </w:rPr>
        <w:t xml:space="preserve">1) предприятия, добывающие золотоносные руды;</w:t>
      </w:r>
    </w:p>
    <w:p>
      <w:pPr>
        <w:spacing w:after="60"/>
        <w:ind w:firstLine="567"/>
        <w:jc w:val="both"/>
      </w:pPr>
      <w:r>
        <w:rPr>
          <w:rFonts w:ascii="Arial" w:cs="Arial" w:eastAsia="Arial" w:hAnsi="Arial"/>
          <w:sz w:val="24"/>
          <w:szCs w:val="24"/>
        </w:rPr>
        <w:t xml:space="preserve">2) золоторудные комбинаты;</w:t>
      </w:r>
    </w:p>
    <w:p>
      <w:pPr>
        <w:spacing w:after="60"/>
        <w:ind w:firstLine="567"/>
        <w:jc w:val="both"/>
      </w:pPr>
      <w:r>
        <w:rPr>
          <w:rFonts w:ascii="Arial" w:cs="Arial" w:eastAsia="Arial" w:hAnsi="Arial"/>
          <w:sz w:val="24"/>
          <w:szCs w:val="24"/>
        </w:rPr>
        <w:t xml:space="preserve">3) золотоперерабатывающие комбинаты и обогатительные фабрики;</w:t>
      </w:r>
    </w:p>
    <w:p>
      <w:pPr>
        <w:spacing w:after="60"/>
        <w:ind w:firstLine="567"/>
        <w:jc w:val="both"/>
      </w:pPr>
      <w:r>
        <w:rPr>
          <w:rFonts w:ascii="Arial" w:cs="Arial" w:eastAsia="Arial" w:hAnsi="Arial"/>
          <w:sz w:val="24"/>
          <w:szCs w:val="24"/>
        </w:rPr>
        <w:t xml:space="preserve">4) аффинажные предприятия;</w:t>
      </w:r>
    </w:p>
    <w:p>
      <w:pPr>
        <w:spacing w:after="60"/>
        <w:ind w:firstLine="567"/>
        <w:jc w:val="both"/>
      </w:pPr>
      <w:r>
        <w:rPr>
          <w:rFonts w:ascii="Arial" w:cs="Arial" w:eastAsia="Arial" w:hAnsi="Arial"/>
          <w:sz w:val="24"/>
          <w:szCs w:val="24"/>
        </w:rPr>
        <w:t xml:space="preserve">5) предприятия по производству водки;</w:t>
      </w:r>
    </w:p>
    <w:p>
      <w:pPr>
        <w:spacing w:after="60"/>
        <w:ind w:firstLine="567"/>
        <w:jc w:val="both"/>
      </w:pPr>
      <w:r>
        <w:rPr>
          <w:rFonts w:ascii="Arial" w:cs="Arial" w:eastAsia="Arial" w:hAnsi="Arial"/>
          <w:sz w:val="24"/>
          <w:szCs w:val="24"/>
        </w:rPr>
        <w:t xml:space="preserve">6) предприятия по производству ликеро-водочных изделий;</w:t>
      </w:r>
    </w:p>
    <w:p>
      <w:pPr>
        <w:spacing w:after="60"/>
        <w:ind w:firstLine="567"/>
        <w:jc w:val="both"/>
      </w:pPr>
      <w:r>
        <w:rPr>
          <w:rFonts w:ascii="Arial" w:cs="Arial" w:eastAsia="Arial" w:hAnsi="Arial"/>
          <w:sz w:val="24"/>
          <w:szCs w:val="24"/>
        </w:rPr>
        <w:t xml:space="preserve">7) предприятия по производству виноматериалов;</w:t>
      </w:r>
    </w:p>
    <w:p>
      <w:pPr>
        <w:spacing w:after="60"/>
        <w:ind w:firstLine="567"/>
        <w:jc w:val="both"/>
      </w:pPr>
      <w:r>
        <w:rPr>
          <w:rFonts w:ascii="Arial" w:cs="Arial" w:eastAsia="Arial" w:hAnsi="Arial"/>
          <w:sz w:val="24"/>
          <w:szCs w:val="24"/>
        </w:rPr>
        <w:t xml:space="preserve">8) предприятия по производству вин;</w:t>
      </w:r>
    </w:p>
    <w:p>
      <w:pPr>
        <w:spacing w:after="60"/>
        <w:ind w:firstLine="567"/>
        <w:jc w:val="both"/>
      </w:pPr>
      <w:r>
        <w:rPr>
          <w:rFonts w:ascii="Arial" w:cs="Arial" w:eastAsia="Arial" w:hAnsi="Arial"/>
          <w:sz w:val="24"/>
          <w:szCs w:val="24"/>
        </w:rPr>
        <w:t xml:space="preserve">9) предприятия по производству игристых вин, шампанских вин;</w:t>
      </w:r>
    </w:p>
    <w:p>
      <w:pPr>
        <w:spacing w:after="60"/>
        <w:ind w:firstLine="567"/>
        <w:jc w:val="both"/>
      </w:pPr>
      <w:r>
        <w:rPr>
          <w:rFonts w:ascii="Arial" w:cs="Arial" w:eastAsia="Arial" w:hAnsi="Arial"/>
          <w:sz w:val="24"/>
          <w:szCs w:val="24"/>
        </w:rPr>
        <w:t xml:space="preserve">10) предприятия по производству винных напитков;</w:t>
      </w:r>
    </w:p>
    <w:p>
      <w:pPr>
        <w:spacing w:after="60"/>
        <w:ind w:firstLine="567"/>
        <w:jc w:val="both"/>
      </w:pPr>
      <w:r>
        <w:rPr>
          <w:rFonts w:ascii="Arial" w:cs="Arial" w:eastAsia="Arial" w:hAnsi="Arial"/>
          <w:sz w:val="24"/>
          <w:szCs w:val="24"/>
        </w:rPr>
        <w:t xml:space="preserve">11) предприятия по производству коньяка;</w:t>
      </w:r>
    </w:p>
    <w:p>
      <w:pPr>
        <w:spacing w:after="60"/>
        <w:ind w:firstLine="567"/>
        <w:jc w:val="both"/>
      </w:pPr>
      <w:r>
        <w:rPr>
          <w:rFonts w:ascii="Arial" w:cs="Arial" w:eastAsia="Arial" w:hAnsi="Arial"/>
          <w:sz w:val="24"/>
          <w:szCs w:val="24"/>
        </w:rPr>
        <w:t xml:space="preserve">12) предприятия по производству бренди;</w:t>
      </w:r>
    </w:p>
    <w:p>
      <w:pPr>
        <w:spacing w:after="60"/>
        <w:ind w:firstLine="567"/>
        <w:jc w:val="both"/>
      </w:pPr>
      <w:r>
        <w:rPr>
          <w:rFonts w:ascii="Arial" w:cs="Arial" w:eastAsia="Arial" w:hAnsi="Arial"/>
          <w:sz w:val="24"/>
          <w:szCs w:val="24"/>
        </w:rPr>
        <w:t xml:space="preserve">13) предприятия по производству кальвадоса;</w:t>
      </w:r>
    </w:p>
    <w:p>
      <w:pPr>
        <w:spacing w:after="60"/>
        <w:ind w:firstLine="567"/>
        <w:jc w:val="both"/>
      </w:pPr>
      <w:r>
        <w:rPr>
          <w:rFonts w:ascii="Arial" w:cs="Arial" w:eastAsia="Arial" w:hAnsi="Arial"/>
          <w:sz w:val="24"/>
          <w:szCs w:val="24"/>
        </w:rPr>
        <w:t xml:space="preserve">14) предприятия по производству пива;</w:t>
      </w:r>
    </w:p>
    <w:p>
      <w:pPr>
        <w:spacing w:after="60"/>
        <w:ind w:firstLine="567"/>
        <w:jc w:val="both"/>
      </w:pPr>
      <w:r>
        <w:rPr>
          <w:rFonts w:ascii="Arial" w:cs="Arial" w:eastAsia="Arial" w:hAnsi="Arial"/>
          <w:sz w:val="24"/>
          <w:szCs w:val="24"/>
        </w:rPr>
        <w:t xml:space="preserve">15) предприятия по производству прочих крепких алкогольных напитков;</w:t>
      </w:r>
    </w:p>
    <w:p>
      <w:pPr>
        <w:spacing w:after="60"/>
        <w:ind w:firstLine="567"/>
        <w:jc w:val="both"/>
      </w:pPr>
      <w:r>
        <w:rPr>
          <w:rFonts w:ascii="Arial" w:cs="Arial" w:eastAsia="Arial" w:hAnsi="Arial"/>
          <w:sz w:val="24"/>
          <w:szCs w:val="24"/>
        </w:rPr>
        <w:t xml:space="preserve">16) предприятия по производству прочих слабоалкогольных напитков;</w:t>
      </w:r>
    </w:p>
    <w:p>
      <w:pPr>
        <w:spacing w:after="60"/>
        <w:ind w:firstLine="567"/>
        <w:jc w:val="both"/>
      </w:pPr>
      <w:r>
        <w:rPr>
          <w:rFonts w:ascii="Arial" w:cs="Arial" w:eastAsia="Arial" w:hAnsi="Arial"/>
          <w:sz w:val="24"/>
          <w:szCs w:val="24"/>
        </w:rPr>
        <w:t xml:space="preserve">17) майнинг (криптовалюта).</w:t>
      </w:r>
    </w:p>
    <w:p>
      <w:pPr>
        <w:spacing w:after="60"/>
        <w:ind w:firstLine="567"/>
        <w:jc w:val="both"/>
      </w:pPr>
      <w:r>
        <w:rPr>
          <w:rFonts w:ascii="Arial" w:cs="Arial" w:eastAsia="Arial" w:hAnsi="Arial"/>
          <w:sz w:val="24"/>
          <w:szCs w:val="24"/>
        </w:rPr>
        <w:t xml:space="preserve">61. При наличии отдельных приборов учета электроэнергии применение тарифа не распространяется на другие структурные производственные подразделения предприятий, не задействованных в основном производстве.</w:t>
      </w:r>
    </w:p>
    <w:p>
      <w:pPr>
        <w:spacing w:after="60"/>
        <w:ind w:firstLine="567"/>
        <w:jc w:val="both"/>
      </w:pPr>
      <w:r>
        <w:rPr>
          <w:rFonts w:ascii="Arial" w:cs="Arial" w:eastAsia="Arial" w:hAnsi="Arial"/>
          <w:sz w:val="24"/>
          <w:szCs w:val="24"/>
        </w:rPr>
        <w:t xml:space="preserve">62. На период строительства объекта к группе потребителей "Энергоемкие потребители" применяется тариф на электроэнергию для группы потребителей "Промышленность".</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7nbskgq7ko8vhzpfqur">
      <w:r>
        <w:rPr>
          <w:rFonts w:ascii="Arial" w:cs="Arial" w:eastAsia="Arial" w:hAnsi="Arial"/>
          <w:color w:val="132D3F"/>
          <w:sz w:val="16"/>
          <w:szCs w:val="16"/>
          <w:u w:val="single"/>
        </w:rPr>
        <w:t xml:space="preserve">dalil.kg/document/230025980</w:t>
      </w:r>
    </w:hyperlink>
  </w:p>
  <w:p>
    <w:pPr>
      <w:spacing w:after="0" w:before="40"/>
      <w:jc w:val="center"/>
    </w:pPr>
    <w:hyperlink w:history="1" r:id="rId4jjdry1be_9rq8atwe6c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gknuthrnewxb3kq8dfak" Type="http://schemas.openxmlformats.org/officeDocument/2006/relationships/hyperlink" Target="https://dalil.kg/document/230029608" TargetMode="External"/><Relationship Id="rIdzpg5nel7rp7xyi82qks6z" Type="http://schemas.openxmlformats.org/officeDocument/2006/relationships/hyperlink" Target="https://dalil.kg/document/230044230" TargetMode="External"/><Relationship Id="rId3y7-x0kbxpfv9cij0priy" Type="http://schemas.openxmlformats.org/officeDocument/2006/relationships/hyperlink" Target="https://dalil.kg/document/230046870" TargetMode="External"/><Relationship Id="rIdpqrenarva1o3qzmqbuvfl" Type="http://schemas.openxmlformats.org/officeDocument/2006/relationships/hyperlink" Target="https://dalil.kg/document/663#st_6" TargetMode="External"/><Relationship Id="rIdemznbdpcuvh84vo-wypri" Type="http://schemas.openxmlformats.org/officeDocument/2006/relationships/hyperlink" Target="https://dalil.kg/document/112301#st_13" TargetMode="External"/><Relationship Id="rId6gnuecpeta-7rornrywet" Type="http://schemas.openxmlformats.org/officeDocument/2006/relationships/hyperlink" Target="https://dalil.kg/document/112301#st_17" TargetMode="External"/><Relationship Id="rIduotxwkq1atmwsxrq1dh4g" Type="http://schemas.openxmlformats.org/officeDocument/2006/relationships/hyperlink" Target="https://dalil.kg/document/230025980#pr" TargetMode="External"/><Relationship Id="rIdmavcmxqne7m_1632zefva" Type="http://schemas.openxmlformats.org/officeDocument/2006/relationships/hyperlink" Target="https://dalil.kg/document/158784" TargetMode="External"/><Relationship Id="rIdqgyevhpluy4hyjz6uzywz" Type="http://schemas.openxmlformats.org/officeDocument/2006/relationships/hyperlink" Target="https://dalil.kg/document/158780" TargetMode="External"/><Relationship Id="rIddczno2kmvewkuxcshlwkb" Type="http://schemas.openxmlformats.org/officeDocument/2006/relationships/hyperlink" Target="https://dalil.kg/document/158784" TargetMode="External"/><Relationship Id="rIdpjhmvvthewx0yq_hpdjpd" Type="http://schemas.openxmlformats.org/officeDocument/2006/relationships/hyperlink" Target="https://dalil.kg/document/158799" TargetMode="External"/><Relationship Id="rId4fez58rplh2ohife3ya5i" Type="http://schemas.openxmlformats.org/officeDocument/2006/relationships/hyperlink" Target="https://dalil.kg/document/158784" TargetMode="External"/><Relationship Id="rIddm3wfmrll_i4mh47lzsur" Type="http://schemas.openxmlformats.org/officeDocument/2006/relationships/hyperlink" Target="https://dalil.kg/document/159114" TargetMode="External"/><Relationship Id="rIdb1vyzex-pphcbtlef0yii" Type="http://schemas.openxmlformats.org/officeDocument/2006/relationships/hyperlink" Target="https://dalil.kg/document/158784" TargetMode="External"/><Relationship Id="rId8scbtkpgw0rz0jeirjrsa" Type="http://schemas.openxmlformats.org/officeDocument/2006/relationships/hyperlink" Target="https://dalil.kg/document/159475" TargetMode="External"/><Relationship Id="rIdnj7mxaw6imfsu_bymqy1w" Type="http://schemas.openxmlformats.org/officeDocument/2006/relationships/hyperlink" Target="https://dalil.kg/document/158784" TargetMode="External"/><Relationship Id="rIdemk3pzy1q5an3q30ktn_s" Type="http://schemas.openxmlformats.org/officeDocument/2006/relationships/hyperlink" Target="https://dalil.kg/document/159452" TargetMode="External"/><Relationship Id="rIdckan-wp3eoz2x4pnhrlt1" Type="http://schemas.openxmlformats.org/officeDocument/2006/relationships/hyperlink" Target="https://dalil.kg/document/158784" TargetMode="External"/><Relationship Id="rIdg-1g858wberkhgkn7unin" Type="http://schemas.openxmlformats.org/officeDocument/2006/relationships/hyperlink" Target="https://dalil.kg/document/159657" TargetMode="External"/><Relationship Id="rIdw8zdmmr6pwgeyy5lsgvds" Type="http://schemas.openxmlformats.org/officeDocument/2006/relationships/hyperlink" Target="https://dalil.kg/document/158784" TargetMode="External"/><Relationship Id="rIdflb2splstqjelsnbz8ia6" Type="http://schemas.openxmlformats.org/officeDocument/2006/relationships/hyperlink" Target="https://dalil.kg/document/160079" TargetMode="External"/><Relationship Id="rIdq95p19ap9g12zzg_uc9sb" Type="http://schemas.openxmlformats.org/officeDocument/2006/relationships/hyperlink" Target="https://dalil.kg/document/158784" TargetMode="External"/><Relationship Id="rIdffm7rpuot_tontpohmrc9" Type="http://schemas.openxmlformats.org/officeDocument/2006/relationships/hyperlink" Target="https://dalil.kg/document/230000276" TargetMode="External"/><Relationship Id="rIdmoo2ian3nykcqkk9q9yo-" Type="http://schemas.openxmlformats.org/officeDocument/2006/relationships/hyperlink" Target="https://dalil.kg/document/158784" TargetMode="External"/><Relationship Id="rIdbnsgsjnj0n0bj_gk5p6ei" Type="http://schemas.openxmlformats.org/officeDocument/2006/relationships/hyperlink" Target="https://dalil.kg/document/230005068" TargetMode="External"/><Relationship Id="rIdecdhgxbwnfptdjyriptpk" Type="http://schemas.openxmlformats.org/officeDocument/2006/relationships/hyperlink" Target="https://dalil.kg/document/158784" TargetMode="External"/><Relationship Id="rIdfdh5nbtjunzrihbajqxnz" Type="http://schemas.openxmlformats.org/officeDocument/2006/relationships/hyperlink" Target="https://dalil.kg/document/230019579" TargetMode="External"/><Relationship Id="rIdfthi_7alxnnsqtbjdp3vt" Type="http://schemas.openxmlformats.org/officeDocument/2006/relationships/hyperlink" Target="https://dalil.kg/document/158784" TargetMode="External"/><Relationship Id="rIdtkhl6d-hmfzkfcj1-ydw-" Type="http://schemas.openxmlformats.org/officeDocument/2006/relationships/hyperlink" Target="https://dalil.kg/document/230019571" TargetMode="External"/><Relationship Id="rIdgvw30zciksliuczkcsu38" Type="http://schemas.openxmlformats.org/officeDocument/2006/relationships/hyperlink" Target="https://dalil.kg/document/158784" TargetMode="External"/><Relationship Id="rIdsn4p_kxsayru7oarg-lxs" Type="http://schemas.openxmlformats.org/officeDocument/2006/relationships/hyperlink" Target="https://dalil.kg/document/230029608" TargetMode="External"/><Relationship Id="rIdv2hxhdal_egfzokvoaqyd" Type="http://schemas.openxmlformats.org/officeDocument/2006/relationships/hyperlink" Target="https://dalil.kg/document/230044230" TargetMode="External"/><Relationship Id="rId7mdrqeqk6-u2kdp33pfcp" Type="http://schemas.openxmlformats.org/officeDocument/2006/relationships/hyperlink" Target="https://dalil.kg/document/230046870" TargetMode="External"/><Relationship Id="rIdhtzq8aetc-d5grtzl-yvf" Type="http://schemas.openxmlformats.org/officeDocument/2006/relationships/hyperlink" Target="https://dalil.kg/document/230025980#pr_1" TargetMode="External"/><Relationship Id="rIddmq4fz-kwk-rei_ng2vmj" Type="http://schemas.openxmlformats.org/officeDocument/2006/relationships/hyperlink" Target="https://dalil.kg/document/230025980#pr_1" TargetMode="External"/><Relationship Id="rId_e21qkbmjvg0euo4ugyj3" Type="http://schemas.openxmlformats.org/officeDocument/2006/relationships/hyperlink" Target="https://dalil.kg/document/230025980#pr_1" TargetMode="External"/><Relationship Id="rIdvq7imscsut1zdqrburmyp" Type="http://schemas.openxmlformats.org/officeDocument/2006/relationships/hyperlink" Target="https://dalil.kg/document/230025980#pr_1" TargetMode="External"/><Relationship Id="rIdqvuqrefzluik0vvpfyfep" Type="http://schemas.openxmlformats.org/officeDocument/2006/relationships/hyperlink" Target="https://dalil.kg/document/230025980#pr_1" TargetMode="External"/><Relationship Id="rIdzareznaplmy-txp9jw8ba" Type="http://schemas.openxmlformats.org/officeDocument/2006/relationships/hyperlink" Target="https://dalil.kg/document/230025980#pr_1" TargetMode="External"/><Relationship Id="rIdkh_iaqdyyc14snfbyjdoo" Type="http://schemas.openxmlformats.org/officeDocument/2006/relationships/hyperlink" Target="https://dalil.kg/document/230025980#pr_1" TargetMode="External"/><Relationship Id="rIdopcf70yoxy3jtw_gfry4u" Type="http://schemas.openxmlformats.org/officeDocument/2006/relationships/hyperlink" Target="https://dalil.kg/document/230025980#pr_1" TargetMode="External"/><Relationship Id="rIdkvpjqmvwtihhg7wkqdcmx" Type="http://schemas.openxmlformats.org/officeDocument/2006/relationships/hyperlink" Target="https://dalil.kg/document/230025980#pr_1" TargetMode="External"/><Relationship Id="rId5bkw_vgw_hobj43ykeqqm" Type="http://schemas.openxmlformats.org/officeDocument/2006/relationships/hyperlink" Target="https://dalil.kg/document/230025980#pr_1" TargetMode="External"/><Relationship Id="rIddd0yd38koaoqi1ipx7pul" Type="http://schemas.openxmlformats.org/officeDocument/2006/relationships/hyperlink" Target="https://dalil.kg/document/230025980#pr_1" TargetMode="External"/><Relationship Id="rIdbk3ybyf2hlhv_4qhefrib" Type="http://schemas.openxmlformats.org/officeDocument/2006/relationships/hyperlink" Target="https://dalil.kg/document/230025980#pr_1" TargetMode="External"/><Relationship Id="rIdoth0pseaeqxfswib0kltp" Type="http://schemas.openxmlformats.org/officeDocument/2006/relationships/hyperlink" Target="https://dalil.kg/document/230025980#pr_3" TargetMode="External"/><Relationship Id="rIdkyx_3_-bwtjcalihpfgyj" Type="http://schemas.openxmlformats.org/officeDocument/2006/relationships/hyperlink" Target="https://dalil.kg/document/230025980#pr_1" TargetMode="External"/><Relationship Id="rIdfhp5nljoq89q4zprpi8_a" Type="http://schemas.openxmlformats.org/officeDocument/2006/relationships/hyperlink" Target="https://dalil.kg/document/230025980#pr_2" TargetMode="External"/><Relationship Id="rIdqqgp2liivs8xesbsvcbb8" Type="http://schemas.openxmlformats.org/officeDocument/2006/relationships/hyperlink" Target="https://dalil.kg/document/230025980#pr_4" TargetMode="External"/><Relationship Id="rId-_oztnhbtnfwa_isujvrw" Type="http://schemas.openxmlformats.org/officeDocument/2006/relationships/hyperlink" Target="https://dalil.kg/document/230029608" TargetMode="External"/><Relationship Id="rIdsxu3xjktg88v816i6sjrp" Type="http://schemas.openxmlformats.org/officeDocument/2006/relationships/hyperlink" Target="https://dalil.kg/document/130#st_7" TargetMode="External"/><Relationship Id="rIdbb3e0lbez7srejxbvm4ge" Type="http://schemas.openxmlformats.org/officeDocument/2006/relationships/hyperlink" Target="https://dalil.kg/document/92158" TargetMode="External"/><Relationship Id="rIdtvpee18haavvemua3zngz" Type="http://schemas.openxmlformats.org/officeDocument/2006/relationships/hyperlink" Target="https://dalil.kg/document/230029608" TargetMode="External"/><Relationship Id="rIdmnddbykd_bdiazr7l1okj" Type="http://schemas.openxmlformats.org/officeDocument/2006/relationships/hyperlink" Target="https://dalil.kg/document/230044230" TargetMode="External"/><Relationship Id="rIdisd-st-bjcblqwi_j_wh6" Type="http://schemas.openxmlformats.org/officeDocument/2006/relationships/hyperlink" Target="https://dalil.kg/document/230046870" TargetMode="External"/><Relationship Id="rId0kaqgngme91oeprwiberf" Type="http://schemas.openxmlformats.org/officeDocument/2006/relationships/hyperlink" Target="https://dalil.kg/document/230025980#pr_1" TargetMode="External"/><Relationship Id="rId-_50qcpoiam_zibtk-2kc" Type="http://schemas.openxmlformats.org/officeDocument/2006/relationships/hyperlink" Target="https://dalil.kg/document/230025980#pr_2" TargetMode="External"/><Relationship Id="rIdw6qkxvx0o_z0yx7onwycq" Type="http://schemas.openxmlformats.org/officeDocument/2006/relationships/hyperlink" Target="https://dalil.kg/document/230025980#pr_2" TargetMode="External"/><Relationship Id="rIdilh6zhmxhj4urhem7vvj9" Type="http://schemas.openxmlformats.org/officeDocument/2006/relationships/hyperlink" Target="https://dalil.kg/document/230025980#pr_2" TargetMode="External"/><Relationship Id="rIdzwkfkb8mhozbslbh9er_q" Type="http://schemas.openxmlformats.org/officeDocument/2006/relationships/hyperlink" Target="https://dalil.kg/document/230025980#pr_2" TargetMode="External"/><Relationship Id="rIdrxsdkpplruiwte5bjb_ty" Type="http://schemas.openxmlformats.org/officeDocument/2006/relationships/hyperlink" Target="https://dalil.kg/document/230025980#pr_2" TargetMode="External"/><Relationship Id="rIdfjkpyvler3amqwc-alexi" Type="http://schemas.openxmlformats.org/officeDocument/2006/relationships/hyperlink" Target="https://dalil.kg/document/230025980#pr_2" TargetMode="External"/><Relationship Id="rId_mv9pzzk1h1ro0ksdnnad" Type="http://schemas.openxmlformats.org/officeDocument/2006/relationships/hyperlink" Target="https://dalil.kg/document/230025980#pr_2" TargetMode="External"/><Relationship Id="rIddr10yy-o_sjlkak1k41sn" Type="http://schemas.openxmlformats.org/officeDocument/2006/relationships/hyperlink" Target="https://dalil.kg/document/230025980#pr_1" TargetMode="External"/><Relationship Id="rIdpnlczwws741n3csh5wua9" Type="http://schemas.openxmlformats.org/officeDocument/2006/relationships/hyperlink" Target="https://dalil.kg/document/230025980#pr_2" TargetMode="External"/><Relationship Id="rIdcwmohit00jjdbt9lyqc9h" Type="http://schemas.openxmlformats.org/officeDocument/2006/relationships/hyperlink" Target="https://dalil.kg/document/230025980#pr_1" TargetMode="External"/><Relationship Id="rIda5r3vlpfl_xekvinabktf" Type="http://schemas.openxmlformats.org/officeDocument/2006/relationships/hyperlink" Target="https://dalil.kg/document/230025980#pr_1" TargetMode="External"/><Relationship Id="rIdeaejl-tc3_kmaoup7xzxt" Type="http://schemas.openxmlformats.org/officeDocument/2006/relationships/hyperlink" Target="https://dalil.kg/document/230025980#pr_1" TargetMode="External"/><Relationship Id="rId_rkp_sov-4_4ff1sdnhni" Type="http://schemas.openxmlformats.org/officeDocument/2006/relationships/hyperlink" Target="https://dalil.kg/document/230025980#pr_1" TargetMode="External"/><Relationship Id="rIdvegm61jigiki45omz76am" Type="http://schemas.openxmlformats.org/officeDocument/2006/relationships/hyperlink" Target="https://dalil.kg/document/230025980#pr_2" TargetMode="External"/><Relationship Id="rIdznf_9mn7viqh46hluln5t" Type="http://schemas.openxmlformats.org/officeDocument/2006/relationships/hyperlink" Target="https://dalil.kg/document/111517#st_33" TargetMode="External"/><Relationship Id="rIdnlml2l-o22coukaod3pk8" Type="http://schemas.openxmlformats.org/officeDocument/2006/relationships/hyperlink" Target="https://dalil.kg/document/230044230" TargetMode="External"/><Relationship Id="rIdvg3a2kjonx3ejo5gjzgb1" Type="http://schemas.openxmlformats.org/officeDocument/2006/relationships/hyperlink" Target="https://dalil.kg/document/230025980#pr_1" TargetMode="External"/><Relationship Id="rIdq39bqzveagz5ced65ob99" Type="http://schemas.openxmlformats.org/officeDocument/2006/relationships/hyperlink" Target="https://dalil.kg/document/230025980#pr_1" TargetMode="External"/><Relationship Id="rIdrowfbjtgvsfqb87czyb6v" Type="http://schemas.openxmlformats.org/officeDocument/2006/relationships/hyperlink" Target="https://dalil.kg/document/230025980#pr_1" TargetMode="External"/><Relationship Id="rIdwccskpkgsvqj2v5ggsq52" Type="http://schemas.openxmlformats.org/officeDocument/2006/relationships/hyperlink" Target="https://dalil.kg/document/230025980#pr_1" TargetMode="External"/><Relationship Id="rIdiucglqhsvm78otlzalpd7" Type="http://schemas.openxmlformats.org/officeDocument/2006/relationships/hyperlink" Target="https://dalil.kg/document/230025980#pr_1" TargetMode="External"/><Relationship Id="rId8" Type="http://schemas.openxmlformats.org/officeDocument/2006/relationships/image" Target="media/8de64316e95979c063c17bcd5380dc052a2594e9.png"/><Relationship Id="rId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7nbskgq7ko8vhzpfqur" Type="http://schemas.openxmlformats.org/officeDocument/2006/relationships/hyperlink" Target="https://dalil.kg/document/230025980" TargetMode="External"/><Relationship Id="rId4jjdry1be_9rq8atwe6c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2026-09-25T02:39:59.605Z</dcterms:created>
  <dcterms:modified xsi:type="dcterms:W3CDTF">2026-09-25T02:39:59.605Z</dcterms:modified>
</cp:coreProperties>
</file>

<file path=docProps/custom.xml><?xml version="1.0" encoding="utf-8"?>
<Properties xmlns="http://schemas.openxmlformats.org/officeDocument/2006/custom-properties" xmlns:vt="http://schemas.openxmlformats.org/officeDocument/2006/docPropsVTypes"/>
</file>