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2025 года № 235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Стратегии устойчивой пенсионной системы Кыргызской Республики "Келечек булагы" от 16 декабря 2022 года № 704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сроков реализации мер по повышению эффективности пенсионной системы, в соответствии со статьями </w:t>
      </w:r>
      <w:hyperlink w:history="1" r:id="rIddmywaxos_ij11epsnm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3ancqapcrs5oc7__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yldvzbux6ftkbf_hc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Стратегии устойчивой пенсионной системы Кыргызской Республики "Келечек булагы" от 16 декабря 2022 года № 704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Дорожной карте</w:t>
      </w:r>
      <w:r>
        <w:rPr>
          <w:rFonts w:ascii="Arial" w:cs="Arial" w:eastAsia="Arial" w:hAnsi="Arial"/>
          <w:sz w:val="24"/>
          <w:szCs w:val="24"/>
        </w:rPr>
        <w:t xml:space="preserve"> по реализации Стратегии устойчивой пенсионной системы Кыргызской Республики "Келечек булагы",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"IV квартал 2024 г." заменить словами "IV квартал 2025 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"2023-2024 гг." заменить словами "I квартал 2025 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"2022-2024 гг." заменить словами "2026 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ibeouj9ag9bkjzejn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dalil.kg/document/230026408</w:t>
      </w:r>
    </w:hyperlink>
  </w:p>
  <w:p>
    <w:pPr>
      <w:spacing w:after="0" w:before="40"/>
      <w:jc w:val="center"/>
    </w:pPr>
    <w:hyperlink w:history="1" r:id="rIdceqnvoug19s-yc9iulf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ywaxos_ij11epsnmewz" Type="http://schemas.openxmlformats.org/officeDocument/2006/relationships/hyperlink" Target="https://dalil.kg/document/112301#st_13" TargetMode="External"/><Relationship Id="rIduo3ancqapcrs5oc7__nkx" Type="http://schemas.openxmlformats.org/officeDocument/2006/relationships/hyperlink" Target="https://dalil.kg/document/112301#st_17" TargetMode="External"/><Relationship Id="rIdqqyldvzbux6ftkbf_hc1j" Type="http://schemas.openxmlformats.org/officeDocument/2006/relationships/hyperlink" Target="https://dalil.kg/document/1598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ibeouj9ag9bkjzejnkz" Type="http://schemas.openxmlformats.org/officeDocument/2006/relationships/hyperlink" Target="https://dalil.kg/document/230026408" TargetMode="External"/><Relationship Id="rIdceqnvoug19s-yc9iulf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2026-09-25T11:59:23.286Z</dcterms:created>
  <dcterms:modified xsi:type="dcterms:W3CDTF">2026-09-25T11:59:23.286Z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