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5edwf2uvp0_9cf0uf9r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Комиссии по развитию технологических парков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m2zhpzne9uhyofovmb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2025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5psjfkrwsswcawc1si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Комиссии по развитию технологических парков при Кабинете Министров Кыргызской Республики регламентирует порядок и организацию работы Комиссии по развитию технологических парков при Кабинете Министров Кыргызской Республики (далее - Комиссия). Комиссия является органом, образованным в целях обеспечения эффективного функционирования, развития и государственной поддержки технологических парков (далее - технопарки).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Комиссия руководствуется </w:t>
      </w:r>
      <w:hyperlink w:history="1" r:id="rIdpxcxa_e6th_tlzvssil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gwfugw1lv1h63k7vkx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технологических парках", решениями Президента Кыргызской Республики и Кабинета Министров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согласованных действий Министерства </w:t>
      </w:r>
      <w:r>
        <w:rPr>
          <w:rFonts w:ascii="Arial" w:cs="Arial" w:eastAsia="Arial" w:hAnsi="Arial"/>
          <w:sz w:val="24"/>
          <w:szCs w:val="24"/>
        </w:rPr>
        <w:t xml:space="preserve">науки, высшего образования и инноваций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других органов государственной власти Кыргызской Республики по вопросам функционирования технопарков;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включение технопарков в Государственный реестр технопарков;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ежегодное заслушивание отчета Министерства </w:t>
      </w:r>
      <w:r>
        <w:rPr>
          <w:rFonts w:ascii="Arial" w:cs="Arial" w:eastAsia="Arial" w:hAnsi="Arial"/>
          <w:sz w:val="24"/>
          <w:szCs w:val="24"/>
        </w:rPr>
        <w:t xml:space="preserve">науки, высшего образования и инноваций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оценке эффективности деятельности технопарков, включенных в Государственный реестр технопарков;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предложений по совершенствованию нормативного правового регулирования функционирования и развития технопарков;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осуществлении мониторинга реализации решений Комиссии в соответствии с возложенными задачами;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предложений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эффективности создания, функционирования и развития технопарков, а также создания благоприятных условий деятельности компаний-резидентов технопарков и организаций, выступающих инвесторами технопарков;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создания, функционирования и развития технопарков за счет не запрещенных источников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системы управления технопарками;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реализации программ развития малого и среднего предпринимательства на территории технопарков;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конференций, семинаров, лекций и других публичных мероприятий, необходимых для достижения практического взаимодействия между всеми участниками процесса создания, функционирования и развития технопарков.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рамках реализации возложенных на нее задач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предложения государственных органов Кыргызской Республики по вопросам, отнесенным к компетенции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взаимодействие с заинтересованными органами государственной власти Кыргызской Республики, органами местного самоуправления, научными и образовательными учреждениями, а также организациями, являющимися инвесторами и резидентами технопарков, в том числе запрашивать у них в установленном порядке информацию по вопросам, относящимся к компетенции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решения, обязательные для органов исполнительной власти, представленных в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временные и постоянно действующие рабочие группы для своевременной и качественной подготовки предложений по вопросам, связанным с решением возложенных на Комиссию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при необходимости экспертов и консультантов для проработки вопросов, вносимых на рассмотрение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Состав Комиссии утверждается распоряжением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 представители </w:t>
      </w:r>
      <w:r>
        <w:rPr>
          <w:rFonts w:ascii="Arial" w:cs="Arial" w:eastAsia="Arial" w:hAnsi="Arial"/>
          <w:sz w:val="24"/>
          <w:szCs w:val="24"/>
        </w:rPr>
        <w:t xml:space="preserve">Министерства науки, высшего образования и инноваций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Министерства экономики и коммерции Кыргызской Республики, Министерства юстиции Кыргызской Республики, Министерства финансов Кыргызской Республики, Министерства цифрового развития и инновационных технологий Кыргызской Республики, Министерства природных ресурсов, экологии и технического надзора Кыргызской Республики, Министерства строительства, архитектуры и жилищно-коммунального хозяйства Кыргызской Республики, Государственного агентства интеллектуальной собственности и инноваций при Кабинете Министров Кыргызской Республики, Государственного агентства по управлению государственным имуществом при Кабинете Министров Кыргызской Республики, Национального агентства по инвестициям при Президенте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Государственной налоговой службы при Кабинете Министров Кыргызской Республики, Государственной таможенной службы при Кабинете Министров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 Национальной академии наук Кыргызской Республики, Торгово-промышленной палаты Кыргызской Республики, академического сообщества, научно-исследовательских институтов, образовательных организаций высшего профессионального образования, бизнеса и экспертного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t2rres8vqqv7nlorex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Председателем Комиссии является заместитель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членами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составы рабочих групп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 работы Комиссии (на основе предложений членов комиссии), регламент работы Комиссии, повестку дня заседаний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имеет одного заместителя. Заместителем председателя Комиссии является министр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Ответственным секретарем Комиссии является представитель Министерства </w:t>
      </w:r>
      <w:r>
        <w:rPr>
          <w:rFonts w:ascii="Arial" w:cs="Arial" w:eastAsia="Arial" w:hAnsi="Arial"/>
          <w:sz w:val="24"/>
          <w:szCs w:val="24"/>
        </w:rPr>
        <w:t xml:space="preserve">науки, высшего образования и инноваций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Ответственный секретарь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работы по подготовке заседаний Комиссии, подготавливает повестку дня заседания Комиссии и формирует по согласованию с председателем Комиссии список приглашенных на заседание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плана работы Комиссии, осуществляет сбор материалов по вопросам, подлежащим рассмотрению на заседании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материалы, необходимые для подготовки заседания Комиссии, которые представляются в Комиссию заинтересованными органами государственной власти, к компетенции которых относятся вопросы повестки дня, не позднее 15 рабочих дней до дня проведения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позже чем за 10 рабочих дней до заседания информирует членов Комиссии и лиц, приглашенных на заседание, о повестке дня заседания, дате, месте и времени его проведения;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протокол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копии протокола заседания Комиссии ее членам в течение 3 рабочих дней с момента его подписания;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обязанности по поручению председателя Комиссии или его заместителя.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отсутствие ответственного секретаря Комиссии его полномочия выполняет другой член Комиссии по решению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присутствуют на заседаниях Комиссии, а при невозможности присутствовать на заседании Комиссии обязаны заблаговременно известить об этом ответственного секретаря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председателю Комиссии предложения по плану работы Комиссии, повестке дня заседаний Комиссии и порядку обсуждения вопросов на заседаниях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ответственному секретарю Комиссии материалы по вопросам, подлежащим рассмотрению на заседании Комиссии, а также проекты решений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предлагают кандидатуры представителей заинтересованных органов государственной власти и организаций, не входящих в состав Комиссии, а также независимых экспертов и иных заинтересованных лиц для участия в расширенном заседании Комиссии, рабочей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обсуждении рассматриваемых Комиссией вопросов и выработке по ним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направляют в случае необходимости ответственному секретарю Комиссии свое мнение по вопросам повестки дня Комиссии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 Комиссии в случае отсутствия на заседании вправе изложить свое мнение по рассматриваемым вопросам в письменной форме, которое оглашается на заседании и приобщается к протоколу.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Комиссии проводятся в соответствии с планом ее работы, но не реже одного раза в год, и считаются правомочными, если на них присутствовало не менее половины от общего состава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Комиссии принимаются большинством голосов присутствующих на заседании членов Комиссии и оформляются протоколом заседания Комиссии, который подписывает председатель или заместитель председателя Комиссии, проводивший данное заседание, и ответственный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 Комиссии могут приглашаться представители органов государственной власти и органов местного самоуправления, а также представители научных и иных организаций, ученые, специалисты и общественные деятели, не входящие в состав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Организационно-техническое и информационно-аналитическое обеспечение деятельности Комиссии осуществляется Министерством </w:t>
      </w:r>
      <w:r>
        <w:rPr>
          <w:rFonts w:ascii="Arial" w:cs="Arial" w:eastAsia="Arial" w:hAnsi="Arial"/>
          <w:sz w:val="24"/>
          <w:szCs w:val="24"/>
        </w:rPr>
        <w:t xml:space="preserve">науки, высшего образования и инноваций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zcaaidqhojormeqrg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dalil.kg/document/230026428</w:t>
      </w:r>
    </w:hyperlink>
  </w:p>
  <w:p>
    <w:pPr>
      <w:spacing w:after="0" w:before="40"/>
      <w:jc w:val="center"/>
    </w:pPr>
    <w:hyperlink w:history="1" r:id="rId67lgdjtruvg0tbroukb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dwf2uvp0_9cf0uf9rqe" Type="http://schemas.openxmlformats.org/officeDocument/2006/relationships/hyperlink" Target="https://dalil.kg/document/230026427" TargetMode="External"/><Relationship Id="rIdkm2zhpzne9uhyofovmblz" Type="http://schemas.openxmlformats.org/officeDocument/2006/relationships/hyperlink" Target="https://dalil.kg/document/230030500" TargetMode="External"/><Relationship Id="rIdn5psjfkrwsswcawc1siqv" Type="http://schemas.openxmlformats.org/officeDocument/2006/relationships/hyperlink" Target="https://dalil.kg/document/230036000" TargetMode="External"/><Relationship Id="rIdpxcxa_e6th_tlzvssilwd" Type="http://schemas.openxmlformats.org/officeDocument/2006/relationships/hyperlink" Target="https://dalil.kg/document/112213" TargetMode="External"/><Relationship Id="rIdggwfugw1lv1h63k7vkxyu" Type="http://schemas.openxmlformats.org/officeDocument/2006/relationships/hyperlink" Target="https://dalil.kg/document/230011107" TargetMode="External"/><Relationship Id="rIdmt2rres8vqqv7nlorex1o" Type="http://schemas.openxmlformats.org/officeDocument/2006/relationships/hyperlink" Target="https://dalil.kg/document/2300360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zcaaidqhojormeqrggp" Type="http://schemas.openxmlformats.org/officeDocument/2006/relationships/hyperlink" Target="https://dalil.kg/document/230026428" TargetMode="External"/><Relationship Id="rId67lgdjtruvg0tbroukb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2026-09-25T19:05:39.765Z</dcterms:created>
  <dcterms:modified xsi:type="dcterms:W3CDTF">2026-09-25T19:05:39.765Z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