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2025 года № 90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Гражданский кодекс Кыргызской Республики, Кодекс Кыргызской Республики о неналоговых доходах, Закон Кыргызской Республики "О лицензионно-разрешительной системе в Кыргызской Республике")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n9qwxu6w7zjoysp31k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1996 г., № 6, ст.80)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begqbrul3bqmw8wpmu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Ликвидация страховой (перестраховочной) организации производится после согласования с уполномоченным государственным органом по регулированию и надзору за страховой деятельностью.";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hyperlink w:history="1" r:id="rIdqpduyrr7z6fac6sviyo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"Реорганизация страховой (перестраховочной) организации производится после согласования с уполномоченным государственным органом по регулированию и надзору за страховой деятельностью.".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lfpofjzntnoz-jnx_p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1998 г., № 6, ст.226)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hyperlink w:history="1" r:id="rIdathyyyhqbidqtxawdyf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921-1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4rcf-b4ugnaa52gfzg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921-1</w:t>
        </w:r>
      </w:hyperlink>
      <w:r>
        <w:rPr>
          <w:rFonts w:ascii="Arial" w:cs="Arial" w:eastAsia="Arial" w:hAnsi="Arial"/>
          <w:sz w:val="24"/>
          <w:szCs w:val="24"/>
        </w:rPr>
        <w:t xml:space="preserve">. Исламское страхование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Договором исламского страхования является договор страхования, заключенный в соответствии с параграфом 2 настоящей главы и законодательством в области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Страховая премия, уплаченная страхователем по договору исламского страхования, а также доходы, полученные в результате инвестирования страховых премий, подлежат перечислению страховщиком в исламский страховой фонд, формируемый страховщиком для осуществления страховых выплат страхователям (выгодоприобретателям) по договорам исламского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Страховые премии, полученные страховщиком по договору исламского страхования, а также иное имущество, составляющее исламский страховой фонд, не принадлежат страховщику на праве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Страховщик по договору исламского страхования вправе получить вознаграждение за управление исламским страховым фондом за счет средств исламского страхового фонда в соответствии с требованиями, установленными законодательством в области страхования, и заключенным договором исламского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Особенности осуществления исламского страхования, формирования, учета, использования и распределения исламского страхового фонда, а также правового положения страховщиков, осуществляющих исламское страхование, и условия их деятельности определяются в соответствии с настоящим Кодексом и законодательством в области страхования.".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lza_dao6vaykv3x1xf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</w:t>
      </w:r>
      <w:hyperlink w:history="1" r:id="rIdi9okjmvc5vp8xbnxw5k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16-1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k6ih_gaktd4wl49cin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16-1</w:t>
        </w:r>
      </w:hyperlink>
      <w:r>
        <w:rPr>
          <w:rFonts w:ascii="Arial" w:cs="Arial" w:eastAsia="Arial" w:hAnsi="Arial"/>
          <w:sz w:val="24"/>
          <w:szCs w:val="24"/>
        </w:rPr>
        <w:t xml:space="preserve">. Сборы за регистрацию, перерегистрацию в Едином государственном реестре актуариев и страховых брокеров и ведение Единого государственного реестра актуариев и страховых брокеров</w:t>
      </w:r>
    </w:p>
    <w:p>
      <w:pPr>
        <w:spacing w:after="120"/>
        <w:ind w:firstLine="567"/>
        <w:jc w:val="both"/>
      </w:pPr>
      <w:hyperlink w:history="1" r:id="rId8ctzpzvytwbolg6d6l3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56-1</w:t>
        </w:r>
      </w:hyperlink>
      <w:r>
        <w:rPr>
          <w:rFonts w:ascii="Arial" w:cs="Arial" w:eastAsia="Arial" w:hAnsi="Arial"/>
          <w:sz w:val="24"/>
          <w:szCs w:val="24"/>
        </w:rPr>
        <w:t xml:space="preserve">. Плательщик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Плательщиком является лицо, подавшее заявление на регистрацию или перерегистрацию в Едином государственном реестре актуариев и страховых брокеров, зарегистрированных в Едином государственном реестре.</w:t>
      </w:r>
    </w:p>
    <w:p>
      <w:pPr>
        <w:spacing w:after="120"/>
        <w:ind w:firstLine="567"/>
        <w:jc w:val="both"/>
      </w:pPr>
      <w:hyperlink w:history="1" r:id="rIdork4eg87iawup1nil0a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56-2</w:t>
        </w:r>
      </w:hyperlink>
      <w:r>
        <w:rPr>
          <w:rFonts w:ascii="Arial" w:cs="Arial" w:eastAsia="Arial" w:hAnsi="Arial"/>
          <w:sz w:val="24"/>
          <w:szCs w:val="24"/>
        </w:rPr>
        <w:t xml:space="preserve">. Размер и порядок уплаты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и порядок уплаты сборов определяются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y4sifje0llsvbfyvv1r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47-1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cnn0dhat1jelygr4hk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47-1</w:t>
        </w:r>
      </w:hyperlink>
      <w:r>
        <w:rPr>
          <w:rFonts w:ascii="Arial" w:cs="Arial" w:eastAsia="Arial" w:hAnsi="Arial"/>
          <w:sz w:val="24"/>
          <w:szCs w:val="24"/>
        </w:rPr>
        <w:t xml:space="preserve">. Отчисления на развитие страховой отрасли</w:t>
      </w:r>
    </w:p>
    <w:p>
      <w:pPr>
        <w:spacing w:after="120"/>
        <w:ind w:firstLine="567"/>
        <w:jc w:val="both"/>
      </w:pPr>
      <w:hyperlink w:history="1" r:id="rIdqc3mjtdezbjjc7th_zk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133-1</w:t>
        </w:r>
      </w:hyperlink>
      <w:r>
        <w:rPr>
          <w:rFonts w:ascii="Arial" w:cs="Arial" w:eastAsia="Arial" w:hAnsi="Arial"/>
          <w:sz w:val="24"/>
          <w:szCs w:val="24"/>
        </w:rPr>
        <w:t xml:space="preserve">. Плательщик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Плательщиками отчислений являются страховые (перестраховочные) организации, осуществляющие свою деятельность на территории Кыргызской Республики.</w:t>
      </w:r>
    </w:p>
    <w:p>
      <w:pPr>
        <w:spacing w:after="120"/>
        <w:ind w:firstLine="567"/>
        <w:jc w:val="both"/>
      </w:pPr>
      <w:hyperlink w:history="1" r:id="rId9wnfy00dfhmvtmmlscq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133-2</w:t>
        </w:r>
      </w:hyperlink>
      <w:r>
        <w:rPr>
          <w:rFonts w:ascii="Arial" w:cs="Arial" w:eastAsia="Arial" w:hAnsi="Arial"/>
          <w:sz w:val="24"/>
          <w:szCs w:val="24"/>
        </w:rPr>
        <w:t xml:space="preserve">. Размер платежа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Плательщики вносят на развитие страховой отрасли отчисления от страховых премий в размере, установленном Кабинетом Министров Кыргызской Республики.</w:t>
      </w:r>
    </w:p>
    <w:p>
      <w:pPr>
        <w:spacing w:after="120"/>
        <w:ind w:firstLine="567"/>
        <w:jc w:val="both"/>
      </w:pPr>
      <w:hyperlink w:history="1" r:id="rIdrfy8hyarv8jsnzyv1hi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133-3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и сроки уплаты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Отчисления на развитие страховой отрасли вносятся ежеквартально до 20 числа месяца, следующего за отчетным периодом.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Отчисления направляются на развитие страховой отрасли.";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_8bj7y-wmu5b3uw8os2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19-2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"19-2) сборы за регистрацию, перерегистрацию актуариев и страховых брокеров в Едином государственном реестре актуариев и страховых брокеров и ведение Единого государственного реестра актуариев и страховых брокеров;".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vllbqrudh8vt2vldrm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следующее изменение:</w:t>
      </w:r>
    </w:p>
    <w:p>
      <w:pPr>
        <w:spacing w:after="120"/>
        <w:ind w:firstLine="567"/>
        <w:jc w:val="both"/>
      </w:pPr>
      <w:hyperlink w:history="1" r:id="rIdy6fk69jv2nrzm2cjtgk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64-66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"64) страхование по исламским принципам такафул, осуществляемое страховой организацией;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65) вмененное страхование, осуществляемое страховой организацией;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66) аннуитетное страхование, осуществляемое страховой организацией.".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мая 2025 года № 33 (3689)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 марта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63kcjsdgp_c-u5asr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dalil.kg/document/230026486</w:t>
      </w:r>
    </w:hyperlink>
  </w:p>
  <w:p>
    <w:pPr>
      <w:spacing w:after="0" w:before="40"/>
      <w:jc w:val="center"/>
    </w:pPr>
    <w:hyperlink w:history="1" r:id="rIdav-ya8n8zou9kaknwor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9qwxu6w7zjoysp31kvc" Type="http://schemas.openxmlformats.org/officeDocument/2006/relationships/hyperlink" Target="https://dalil.kg/document/4" TargetMode="External"/><Relationship Id="rIdhbegqbrul3bqmw8wpmuae" Type="http://schemas.openxmlformats.org/officeDocument/2006/relationships/hyperlink" Target="https://dalil.kg/document/4#st_96" TargetMode="External"/><Relationship Id="rIdqpduyrr7z6fac6sviyoab" Type="http://schemas.openxmlformats.org/officeDocument/2006/relationships/hyperlink" Target="https://dalil.kg/document/4#st_149" TargetMode="External"/><Relationship Id="rIdllfpofjzntnoz-jnx_p-v" Type="http://schemas.openxmlformats.org/officeDocument/2006/relationships/hyperlink" Target="https://dalil.kg/document/5" TargetMode="External"/><Relationship Id="rIdathyyyhqbidqtxawdyfdi" Type="http://schemas.openxmlformats.org/officeDocument/2006/relationships/hyperlink" Target="https://dalil.kg/document/5#st_921_1" TargetMode="External"/><Relationship Id="rIdf4rcf-b4ugnaa52gfzg9t" Type="http://schemas.openxmlformats.org/officeDocument/2006/relationships/hyperlink" Target="https://dalil.kg/document/5#st_921_1" TargetMode="External"/><Relationship Id="rIdllza_dao6vaykv3x1xf5f" Type="http://schemas.openxmlformats.org/officeDocument/2006/relationships/hyperlink" Target="https://dalil.kg/document/111820" TargetMode="External"/><Relationship Id="rIdi9okjmvc5vp8xbnxw5kno" Type="http://schemas.openxmlformats.org/officeDocument/2006/relationships/hyperlink" Target="https://dalil.kg/document/111820#g16_1" TargetMode="External"/><Relationship Id="rIdwk6ih_gaktd4wl49cinjj" Type="http://schemas.openxmlformats.org/officeDocument/2006/relationships/hyperlink" Target="https://dalil.kg/document/111820#g16_1" TargetMode="External"/><Relationship Id="rId8ctzpzvytwbolg6d6l3gx" Type="http://schemas.openxmlformats.org/officeDocument/2006/relationships/hyperlink" Target="https://dalil.kg/document/111820#st_56_1" TargetMode="External"/><Relationship Id="rIdork4eg87iawup1nil0aze" Type="http://schemas.openxmlformats.org/officeDocument/2006/relationships/hyperlink" Target="https://dalil.kg/document/111820#st_56_2" TargetMode="External"/><Relationship Id="rIdy4sifje0llsvbfyvv1rmm" Type="http://schemas.openxmlformats.org/officeDocument/2006/relationships/hyperlink" Target="https://dalil.kg/document/111820#g47_1" TargetMode="External"/><Relationship Id="rIdhcnn0dhat1jelygr4hkvw" Type="http://schemas.openxmlformats.org/officeDocument/2006/relationships/hyperlink" Target="https://dalil.kg/document/111820#g47_1" TargetMode="External"/><Relationship Id="rIdqc3mjtdezbjjc7th_zkdu" Type="http://schemas.openxmlformats.org/officeDocument/2006/relationships/hyperlink" Target="https://dalil.kg/document/111820#st_133_1" TargetMode="External"/><Relationship Id="rId9wnfy00dfhmvtmmlscqcr" Type="http://schemas.openxmlformats.org/officeDocument/2006/relationships/hyperlink" Target="https://dalil.kg/document/111820#st_133_2" TargetMode="External"/><Relationship Id="rIdrfy8hyarv8jsnzyv1hi64" Type="http://schemas.openxmlformats.org/officeDocument/2006/relationships/hyperlink" Target="https://dalil.kg/document/111820#st_133_3" TargetMode="External"/><Relationship Id="rId_8bj7y-wmu5b3uw8os2kj" Type="http://schemas.openxmlformats.org/officeDocument/2006/relationships/hyperlink" Target="https://dalil.kg/document/111820#st_153" TargetMode="External"/><Relationship Id="rId0vllbqrudh8vt2vldrm3f" Type="http://schemas.openxmlformats.org/officeDocument/2006/relationships/hyperlink" Target="https://dalil.kg/document/205058" TargetMode="External"/><Relationship Id="rIdy6fk69jv2nrzm2cjtgkym" Type="http://schemas.openxmlformats.org/officeDocument/2006/relationships/hyperlink" Target="https://dalil.kg/document/205058#st_15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63kcjsdgp_c-u5asr4q" Type="http://schemas.openxmlformats.org/officeDocument/2006/relationships/hyperlink" Target="https://dalil.kg/document/230026486" TargetMode="External"/><Relationship Id="rIdav-ya8n8zou9kaknwor_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2026-09-23T20:25:36.582Z</dcterms:created>
  <dcterms:modified xsi:type="dcterms:W3CDTF">2026-09-23T20:25:36.582Z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