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21 мая 2025 года № 272</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14 апреля 2022 года № 221</w:t>
      </w:r>
    </w:p>
    <w:p>
      <w:pPr>
        <w:spacing w:after="60"/>
        <w:ind w:firstLine="567"/>
        <w:jc w:val="both"/>
      </w:pPr>
      <w:r>
        <w:rPr>
          <w:rFonts w:ascii="Arial" w:cs="Arial" w:eastAsia="Arial" w:hAnsi="Arial"/>
          <w:sz w:val="24"/>
          <w:szCs w:val="24"/>
        </w:rPr>
        <w:t xml:space="preserve">В целях обеспечения надлежащего контроля за полнотой и своевременностью уплаты НДС на импорт при ввозе товаров на территорию Кыргызской Республики, учета товаров в рамках торговли с государствами-членами Евразийского экономического союза при ввозе (импорте) в Кыргызскую Республику, в соответствии со </w:t>
      </w:r>
      <w:hyperlink w:history="1" r:id="rIdh39guwnjtajrbolv3r1fi">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Налогового кодекса Кыргызской Республики, статьями </w:t>
      </w:r>
      <w:hyperlink w:history="1" r:id="rIdkshaknqk-xbtzmggjm3a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d25-xkruhomtbnfo5e9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mupltz1lwgfcxsnpzkk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14 апреля 2022 года № 221 следующие изменения:</w:t>
      </w:r>
    </w:p>
    <w:p>
      <w:pPr>
        <w:spacing w:after="60"/>
        <w:ind w:firstLine="567"/>
        <w:jc w:val="both"/>
      </w:pPr>
      <w:r>
        <w:rPr>
          <w:rFonts w:ascii="Arial" w:cs="Arial" w:eastAsia="Arial" w:hAnsi="Arial"/>
          <w:sz w:val="24"/>
          <w:szCs w:val="24"/>
        </w:rPr>
        <w:t xml:space="preserve">1) пункт 1 дополнить абзацем следующего содержания:</w:t>
      </w:r>
    </w:p>
    <w:p>
      <w:pPr>
        <w:spacing w:after="60"/>
        <w:ind w:firstLine="567"/>
        <w:jc w:val="both"/>
      </w:pPr>
      <w:r>
        <w:rPr>
          <w:rFonts w:ascii="Arial" w:cs="Arial" w:eastAsia="Arial" w:hAnsi="Arial"/>
          <w:sz w:val="24"/>
          <w:szCs w:val="24"/>
        </w:rPr>
        <w:t xml:space="preserve">"- Порядок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согласно приложению 3.";</w:t>
      </w:r>
    </w:p>
    <w:p>
      <w:pPr>
        <w:spacing w:after="60"/>
        <w:ind w:firstLine="567"/>
        <w:jc w:val="both"/>
      </w:pPr>
      <w:r>
        <w:rPr>
          <w:rFonts w:ascii="Arial" w:cs="Arial" w:eastAsia="Arial" w:hAnsi="Arial"/>
          <w:sz w:val="24"/>
          <w:szCs w:val="24"/>
        </w:rPr>
        <w:t xml:space="preserve">2) в </w:t>
      </w:r>
      <w:hyperlink w:history="1" r:id="rIdagfzbz0po8xr-qssavaj_">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 утвержденном вышеуказанным </w:t>
      </w:r>
      <w:hyperlink w:history="1" r:id="rIdx2eojxrfk2e94i3ke7v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дополнить подпунктом 3 следующего содержания:</w:t>
      </w:r>
    </w:p>
    <w:p>
      <w:pPr>
        <w:spacing w:after="60"/>
        <w:ind w:firstLine="567"/>
        <w:jc w:val="both"/>
      </w:pPr>
      <w:r>
        <w:rPr>
          <w:rFonts w:ascii="Arial" w:cs="Arial" w:eastAsia="Arial" w:hAnsi="Arial"/>
          <w:sz w:val="24"/>
          <w:szCs w:val="24"/>
        </w:rPr>
        <w:t xml:space="preserve">"3) внести на депозитный счет налогового органа денежные средства в размере 12 процентов от облагаемой стоимости импорта товаров в соответствии с Порядком внесения денежных средств на депозитный счет налогового органа при импорте товаров из государств-членов Евразийского экономического союза,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 дополнить пунктом 38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случае если импортер при ввозе (импорте) товара на территорию Кыргызской Республики с территории государств-членов ЕАЭС подпадает под критерии риска, определенные уполномоченным налоговым органом, должностное лицо пункта учета товаров проверяет факт оплаты денежных средств на депозитный счет или на бюджетный счет Казначейства для каждого ввоза товаров и регистрирует данные об оплате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 пункт 41 дополнить абзацем девятым следующего содержания:</w:t>
      </w:r>
    </w:p>
    <w:p>
      <w:pPr>
        <w:spacing w:after="60"/>
        <w:ind w:firstLine="567"/>
        <w:jc w:val="both"/>
      </w:pPr>
      <w:r>
        <w:rPr>
          <w:rFonts w:ascii="Arial" w:cs="Arial" w:eastAsia="Arial" w:hAnsi="Arial"/>
          <w:sz w:val="24"/>
          <w:szCs w:val="24"/>
        </w:rPr>
        <w:t xml:space="preserve">"- отсутствия платежного поручения о внесении денежных средств на депозитный счет или на бюджетный счет Казначейства в случае, установленном пунктом 38</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3) дополнить </w:t>
      </w:r>
      <w:hyperlink w:history="1" r:id="rIdwb2p3b9uxno88r4pjsbg0">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в редакции согласно </w:t>
      </w:r>
      <w:hyperlink w:history="1" r:id="rIdicrrtcbssbj3glaonlp8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Министерству финансов Кыргызской Республики открыть депозитный счет в системе казначейства для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мая 2025 года № 37 (3693)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x7v-5sc7pz1zyrpnt2mo3">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Порядок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(далее - Порядок) разработан в целях обеспечения надлежащего контроля за полнотой и своевременностью уплаты НДС на импорт при ввозе товаров на территорию Кыргызской Республики, предотвращения фиктивного ввоза товаров в адрес несуществующих или ликвидированных получателей, а также выявления и предупреждения риска неисполнения и/или неполного исполнения налогового обязательства путем регулирования внесения денежных средств при импорте товаров на депозитный счет налогоплательщиком, подпадающим под критерии риска.</w:t>
      </w:r>
    </w:p>
    <w:p>
      <w:pPr>
        <w:spacing w:after="60"/>
        <w:ind w:firstLine="567"/>
        <w:jc w:val="both"/>
      </w:pPr>
      <w:r>
        <w:rPr>
          <w:rFonts w:ascii="Arial" w:cs="Arial" w:eastAsia="Arial" w:hAnsi="Arial"/>
          <w:sz w:val="24"/>
          <w:szCs w:val="24"/>
        </w:rPr>
        <w:t xml:space="preserve">2. Понятия, используемые в настоящем Порядке:</w:t>
      </w:r>
    </w:p>
    <w:p>
      <w:pPr>
        <w:spacing w:after="60"/>
        <w:ind w:firstLine="567"/>
        <w:jc w:val="both"/>
      </w:pPr>
      <w:r>
        <w:rPr>
          <w:rFonts w:ascii="Arial" w:cs="Arial" w:eastAsia="Arial" w:hAnsi="Arial"/>
          <w:sz w:val="24"/>
          <w:szCs w:val="24"/>
        </w:rPr>
        <w:t xml:space="preserve">1) депозитный счет налогового органа</w:t>
      </w:r>
      <w:r>
        <w:rPr>
          <w:rFonts w:ascii="Arial" w:cs="Arial" w:eastAsia="Arial" w:hAnsi="Arial"/>
          <w:sz w:val="24"/>
          <w:szCs w:val="24"/>
        </w:rPr>
        <w:t xml:space="preserve">- счет, предназначенный для учета депозитных средств, открытый в системе Казначейства на основании нормативных правовых актов Кыргызской Республики, регламентирующих операции со средствами, поступающими в качестве обеспечения исполнения обязательств по уплате косвенных налогов на товары, импортируемые из государств-членов Евразийского экономического союза (далее - государства-члены ЕАЭС);</w:t>
      </w:r>
    </w:p>
    <w:p>
      <w:pPr>
        <w:spacing w:after="60"/>
        <w:ind w:firstLine="567"/>
        <w:jc w:val="both"/>
      </w:pPr>
      <w:r>
        <w:rPr>
          <w:rFonts w:ascii="Arial" w:cs="Arial" w:eastAsia="Arial" w:hAnsi="Arial"/>
          <w:sz w:val="24"/>
          <w:szCs w:val="24"/>
        </w:rPr>
        <w:t xml:space="preserve">2) депозитная сумма - средства, поступающие на депозитный счет налогового органа и подлежащие по наступлении определенных условий возврату вносителям или передаче по назначению;</w:t>
      </w:r>
    </w:p>
    <w:p>
      <w:pPr>
        <w:spacing w:after="60"/>
        <w:ind w:firstLine="567"/>
        <w:jc w:val="both"/>
      </w:pPr>
      <w:r>
        <w:rPr>
          <w:rFonts w:ascii="Arial" w:cs="Arial" w:eastAsia="Arial" w:hAnsi="Arial"/>
          <w:sz w:val="24"/>
          <w:szCs w:val="24"/>
        </w:rPr>
        <w:t xml:space="preserve">3) иные термины и определения, используемые в настоящем Порядке, применяются в том значении, в каком они используются в налоговом законодательстве, если иное не предусмотрено настоящим Порядком.</w:t>
      </w:r>
    </w:p>
    <w:p>
      <w:pPr>
        <w:spacing w:after="200" w:before="200"/>
        <w:jc w:val="center"/>
      </w:pPr>
      <w:r>
        <w:rPr>
          <w:rFonts w:ascii="Arial" w:cs="Arial" w:eastAsia="Arial" w:hAnsi="Arial"/>
          <w:b/>
          <w:bCs/>
          <w:sz w:val="32"/>
          <w:szCs w:val="32"/>
        </w:rPr>
        <w:t xml:space="preserve">Глава 2. Условия применения</w:t>
      </w:r>
    </w:p>
    <w:p>
      <w:pPr>
        <w:spacing w:after="60"/>
        <w:ind w:firstLine="567"/>
        <w:jc w:val="both"/>
      </w:pPr>
      <w:r>
        <w:rPr>
          <w:rFonts w:ascii="Arial" w:cs="Arial" w:eastAsia="Arial" w:hAnsi="Arial"/>
          <w:sz w:val="24"/>
          <w:szCs w:val="24"/>
        </w:rPr>
        <w:t xml:space="preserve">3. Налогоплательщик, который осуществляет облагаемый импорт товаров и подпадает под критерии риска, перечисляет на депозитный счет налогового органа депозитную сумму в размере 12% от облагаемой стоимости импорта товаров.</w:t>
      </w:r>
    </w:p>
    <w:p>
      <w:pPr>
        <w:spacing w:after="60"/>
        <w:ind w:firstLine="567"/>
        <w:jc w:val="both"/>
      </w:pPr>
      <w:r>
        <w:rPr>
          <w:rFonts w:ascii="Arial" w:cs="Arial" w:eastAsia="Arial" w:hAnsi="Arial"/>
          <w:sz w:val="24"/>
          <w:szCs w:val="24"/>
        </w:rPr>
        <w:t xml:space="preserve">4. Обязательство по внесению денежных средств на депозитный счет налогового органа не применяется в случае импорта товаров:</w:t>
      </w:r>
    </w:p>
    <w:p>
      <w:pPr>
        <w:spacing w:after="60"/>
        <w:ind w:firstLine="567"/>
        <w:jc w:val="both"/>
      </w:pPr>
      <w:r>
        <w:rPr>
          <w:rFonts w:ascii="Arial" w:cs="Arial" w:eastAsia="Arial" w:hAnsi="Arial"/>
          <w:sz w:val="24"/>
          <w:szCs w:val="24"/>
        </w:rPr>
        <w:t xml:space="preserve">- освобожденных от уплаты НДС на импорт;</w:t>
      </w:r>
    </w:p>
    <w:p>
      <w:pPr>
        <w:spacing w:after="60"/>
        <w:ind w:firstLine="567"/>
        <w:jc w:val="both"/>
      </w:pPr>
      <w:r>
        <w:rPr>
          <w:rFonts w:ascii="Arial" w:cs="Arial" w:eastAsia="Arial" w:hAnsi="Arial"/>
          <w:sz w:val="24"/>
          <w:szCs w:val="24"/>
        </w:rPr>
        <w:t xml:space="preserve">- при досрочном исполнении обязательства по НДС на импортированные товары в размере 12% от облагаемой стоимости импорта товаров на момент пересечения границы;</w:t>
      </w:r>
    </w:p>
    <w:p>
      <w:pPr>
        <w:spacing w:after="60"/>
        <w:ind w:firstLine="567"/>
        <w:jc w:val="both"/>
      </w:pPr>
      <w:r>
        <w:rPr>
          <w:rFonts w:ascii="Arial" w:cs="Arial" w:eastAsia="Arial" w:hAnsi="Arial"/>
          <w:sz w:val="24"/>
          <w:szCs w:val="24"/>
        </w:rPr>
        <w:t xml:space="preserve">- с нулевой (0) ставкой НДС;</w:t>
      </w:r>
    </w:p>
    <w:p>
      <w:pPr>
        <w:spacing w:after="60"/>
        <w:ind w:firstLine="567"/>
        <w:jc w:val="both"/>
      </w:pPr>
      <w:r>
        <w:rPr>
          <w:rFonts w:ascii="Arial" w:cs="Arial" w:eastAsia="Arial" w:hAnsi="Arial"/>
          <w:sz w:val="24"/>
          <w:szCs w:val="24"/>
        </w:rPr>
        <w:t xml:space="preserve">- государственными учреждениями, финансируемыми из государственного бюджета;</w:t>
      </w:r>
    </w:p>
    <w:p>
      <w:pPr>
        <w:spacing w:after="60"/>
        <w:ind w:firstLine="567"/>
        <w:jc w:val="both"/>
      </w:pPr>
      <w:r>
        <w:rPr>
          <w:rFonts w:ascii="Arial" w:cs="Arial" w:eastAsia="Arial" w:hAnsi="Arial"/>
          <w:sz w:val="24"/>
          <w:szCs w:val="24"/>
        </w:rPr>
        <w:t xml:space="preserve">- субъектами, осуществляющими ввоз через перевозчиков консолидированного груза;</w:t>
      </w:r>
    </w:p>
    <w:p>
      <w:pPr>
        <w:spacing w:after="60"/>
        <w:ind w:firstLine="567"/>
        <w:jc w:val="both"/>
      </w:pPr>
      <w:r>
        <w:rPr>
          <w:rFonts w:ascii="Arial" w:cs="Arial" w:eastAsia="Arial" w:hAnsi="Arial"/>
          <w:sz w:val="24"/>
          <w:szCs w:val="24"/>
        </w:rPr>
        <w:t xml:space="preserve">- субъектами, включенными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 утвержденным Кабинетом Министров Кыргызской Республики.</w:t>
      </w:r>
    </w:p>
    <w:p>
      <w:pPr>
        <w:spacing w:after="60"/>
        <w:ind w:firstLine="567"/>
        <w:jc w:val="both"/>
      </w:pPr>
      <w:r>
        <w:rPr>
          <w:rFonts w:ascii="Arial" w:cs="Arial" w:eastAsia="Arial" w:hAnsi="Arial"/>
          <w:sz w:val="24"/>
          <w:szCs w:val="24"/>
        </w:rPr>
        <w:t xml:space="preserve">5. В случае осуществления налогоплательщиком ввоза товаров с территории государств-членов ЕАЭС и получения справки о налоговой регистрации с отметкой "Для целей импорта товаров из государств-членов ЕАЭС" (далее - Справка) сотрудник территориального налогового органа определяет соответствие налогоплательщика критериям риска.</w:t>
      </w:r>
    </w:p>
    <w:p>
      <w:pPr>
        <w:spacing w:after="60"/>
        <w:ind w:firstLine="567"/>
        <w:jc w:val="both"/>
      </w:pPr>
      <w:r>
        <w:rPr>
          <w:rFonts w:ascii="Arial" w:cs="Arial" w:eastAsia="Arial" w:hAnsi="Arial"/>
          <w:sz w:val="24"/>
          <w:szCs w:val="24"/>
        </w:rPr>
        <w:t xml:space="preserve">6. Критерии рисков определяются уполномоченным налоговым органом.</w:t>
      </w:r>
    </w:p>
    <w:p>
      <w:pPr>
        <w:spacing w:after="60"/>
        <w:ind w:firstLine="567"/>
        <w:jc w:val="both"/>
      </w:pPr>
      <w:r>
        <w:rPr>
          <w:rFonts w:ascii="Arial" w:cs="Arial" w:eastAsia="Arial" w:hAnsi="Arial"/>
          <w:sz w:val="24"/>
          <w:szCs w:val="24"/>
        </w:rPr>
        <w:t xml:space="preserve">7. Отнесение налогоплательщика под критерии риска возлагается на сотрудника налогового органа, ответственного за оформление Справки в информационной системе уполномоченного налогового органа.</w:t>
      </w:r>
    </w:p>
    <w:p>
      <w:pPr>
        <w:spacing w:after="200" w:before="200"/>
        <w:jc w:val="center"/>
      </w:pPr>
      <w:r>
        <w:rPr>
          <w:rFonts w:ascii="Arial" w:cs="Arial" w:eastAsia="Arial" w:hAnsi="Arial"/>
          <w:b/>
          <w:bCs/>
          <w:sz w:val="32"/>
          <w:szCs w:val="32"/>
        </w:rPr>
        <w:t xml:space="preserve">Глава 3. Порядок внесения денежных средств на депозитный счет налогового органа при импорте товаров из государств-членов ЕАЭС</w:t>
      </w:r>
    </w:p>
    <w:p>
      <w:pPr>
        <w:spacing w:after="60"/>
        <w:ind w:firstLine="567"/>
        <w:jc w:val="both"/>
      </w:pPr>
      <w:r>
        <w:rPr>
          <w:rFonts w:ascii="Arial" w:cs="Arial" w:eastAsia="Arial" w:hAnsi="Arial"/>
          <w:sz w:val="24"/>
          <w:szCs w:val="24"/>
        </w:rPr>
        <w:t xml:space="preserve">8. Налогоплательщик, который подпадает под критерии риска, вносит денежные средства на депозитный счет налогового органа за 3 (три) дня до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9. Срок, в течение которого применяется депозитный счет, устанавливается начиная с даты отнесения налогоплательщика под критерии риска до истечения 180 календарных дней. В течение этого времени налогоплательщик выполняет все требования, связанные с внесением денежных средств на депозитный счет.</w:t>
      </w:r>
    </w:p>
    <w:p>
      <w:pPr>
        <w:spacing w:after="60"/>
        <w:ind w:firstLine="567"/>
        <w:jc w:val="both"/>
      </w:pPr>
      <w:r>
        <w:rPr>
          <w:rFonts w:ascii="Arial" w:cs="Arial" w:eastAsia="Arial" w:hAnsi="Arial"/>
          <w:sz w:val="24"/>
          <w:szCs w:val="24"/>
        </w:rPr>
        <w:t xml:space="preserve">В случае если завершение срока действия применения депозитного счета приходится на период действия Справки, налогоплательщик выполняет все требования, связанные с внесением денежных средств на депозитный счет, до окончания срока действия текущей Справки.</w:t>
      </w:r>
    </w:p>
    <w:p>
      <w:pPr>
        <w:spacing w:after="60"/>
        <w:ind w:firstLine="567"/>
        <w:jc w:val="both"/>
      </w:pPr>
      <w:r>
        <w:rPr>
          <w:rFonts w:ascii="Arial" w:cs="Arial" w:eastAsia="Arial" w:hAnsi="Arial"/>
          <w:sz w:val="24"/>
          <w:szCs w:val="24"/>
        </w:rPr>
        <w:t xml:space="preserve">10. Налогоплательщик вносит денежные средства на депозитный счет для каждого случая импорта товаров, подлежащих налогообложению, даже если налогоплательщик осуществляет несколько поставок в течение одного налогового периода. Каждый импорт товаров сопровождается соответствующим платежом на депозитный счет, что обеспечивает выполнение обязательств по уплате косвенных налогов в полном объеме.</w:t>
      </w:r>
    </w:p>
    <w:p>
      <w:pPr>
        <w:spacing w:after="200" w:before="200"/>
        <w:jc w:val="center"/>
      </w:pPr>
      <w:r>
        <w:rPr>
          <w:rFonts w:ascii="Arial" w:cs="Arial" w:eastAsia="Arial" w:hAnsi="Arial"/>
          <w:b/>
          <w:bCs/>
          <w:sz w:val="32"/>
          <w:szCs w:val="32"/>
        </w:rPr>
        <w:t xml:space="preserve">Глава 4. Порядок возврата денежных средств с депозитного счета</w:t>
      </w:r>
    </w:p>
    <w:p>
      <w:pPr>
        <w:spacing w:after="60"/>
        <w:ind w:firstLine="567"/>
        <w:jc w:val="both"/>
      </w:pPr>
      <w:r>
        <w:rPr>
          <w:rFonts w:ascii="Arial" w:cs="Arial" w:eastAsia="Arial" w:hAnsi="Arial"/>
          <w:sz w:val="24"/>
          <w:szCs w:val="24"/>
        </w:rPr>
        <w:t xml:space="preserve">11. В целях возврата и/или перечисления депозитных средств в счет досрочного исполнения обязательства по НДС на импорт товаров налогоплательщик обращается с заявлением по форме, утвержденной уполномоченным налоговым органом, в соответствующий налоговый орган не позднее 10 числа месяца, следующего за месяцем, в котором был осуществлен импорт товаров.</w:t>
      </w:r>
    </w:p>
    <w:p>
      <w:pPr>
        <w:spacing w:after="60"/>
        <w:ind w:firstLine="567"/>
        <w:jc w:val="both"/>
      </w:pPr>
      <w:r>
        <w:rPr>
          <w:rFonts w:ascii="Arial" w:cs="Arial" w:eastAsia="Arial" w:hAnsi="Arial"/>
          <w:sz w:val="24"/>
          <w:szCs w:val="24"/>
        </w:rPr>
        <w:t xml:space="preserve">12. К заявлению налогоплательщик прилагает копию квитанции о внесении денежных средств на депозитный счет налогового органа.</w:t>
      </w:r>
    </w:p>
    <w:p>
      <w:pPr>
        <w:spacing w:after="60"/>
        <w:ind w:firstLine="567"/>
        <w:jc w:val="both"/>
      </w:pPr>
      <w:r>
        <w:rPr>
          <w:rFonts w:ascii="Arial" w:cs="Arial" w:eastAsia="Arial" w:hAnsi="Arial"/>
          <w:sz w:val="24"/>
          <w:szCs w:val="24"/>
        </w:rPr>
        <w:t xml:space="preserve">13. При рассмотрении заявления налогоплательщика соответствующий налоговый орган производит обследование (проверка) представленных налогоплательщиком платежных документов с данными из информационной системы уполномоченного налогового органа, в случае их соответствия требованиям настоящего Порядка не позднее 3 рабочих дней со дня представления заявления налогоплательщиком принимает решение о перечислении в счет досрочного исполнения обязательства по НДС на импорт товаров и/или возврате денежных средств, внесенных на депозитный счет.</w:t>
      </w:r>
    </w:p>
    <w:p>
      <w:pPr>
        <w:spacing w:after="60"/>
        <w:ind w:firstLine="567"/>
        <w:jc w:val="both"/>
      </w:pPr>
      <w:r>
        <w:rPr>
          <w:rFonts w:ascii="Arial" w:cs="Arial" w:eastAsia="Arial" w:hAnsi="Arial"/>
          <w:sz w:val="24"/>
          <w:szCs w:val="24"/>
        </w:rPr>
        <w:t xml:space="preserve">14. По заявлению налогоплательщика депозитные средства могут быть использованы в счет исполнения обязательств по НДС на импорт товаров, обеспечения исполнения налоговых обязательств будущих периодов.</w:t>
      </w:r>
    </w:p>
    <w:p>
      <w:pPr>
        <w:spacing w:after="60"/>
        <w:ind w:firstLine="567"/>
        <w:jc w:val="both"/>
      </w:pPr>
      <w:r>
        <w:rPr>
          <w:rFonts w:ascii="Arial" w:cs="Arial" w:eastAsia="Arial" w:hAnsi="Arial"/>
          <w:sz w:val="24"/>
          <w:szCs w:val="24"/>
        </w:rPr>
        <w:t xml:space="preserve">15. В случае наличия задолженности по другим видам налогов, включая обязательство по НДС на импорт товаров, депозитные средства по заявлению налогоплательщика перечисляются в счет исполнения такой налоговой задолженности.</w:t>
      </w:r>
    </w:p>
    <w:p>
      <w:pPr>
        <w:spacing w:after="60"/>
        <w:ind w:firstLine="567"/>
        <w:jc w:val="both"/>
      </w:pPr>
      <w:r>
        <w:rPr>
          <w:rFonts w:ascii="Arial" w:cs="Arial" w:eastAsia="Arial" w:hAnsi="Arial"/>
          <w:sz w:val="24"/>
          <w:szCs w:val="24"/>
        </w:rPr>
        <w:t xml:space="preserve">16. Возврат сумм с депозитного счета осуществляется при отсутствии налоговой задолженности и досрочном исполнении обязательства по НДС на импорт за текущий отчетный период.</w:t>
      </w:r>
    </w:p>
    <w:p>
      <w:pPr>
        <w:spacing w:after="60"/>
        <w:ind w:firstLine="567"/>
        <w:jc w:val="both"/>
      </w:pPr>
      <w:r>
        <w:rPr>
          <w:rFonts w:ascii="Arial" w:cs="Arial" w:eastAsia="Arial" w:hAnsi="Arial"/>
          <w:sz w:val="24"/>
          <w:szCs w:val="24"/>
        </w:rPr>
        <w:t xml:space="preserve">17. Возврат депозита производится на расчетный счет налогоплательщика, с которого осуществлялся его перевод, если в заявлении налогоплательщика на возврат не оговорено иное.</w:t>
      </w:r>
    </w:p>
    <w:p>
      <w:pPr>
        <w:spacing w:after="60"/>
        <w:ind w:firstLine="567"/>
        <w:jc w:val="both"/>
      </w:pPr>
      <w:r>
        <w:rPr>
          <w:rFonts w:ascii="Arial" w:cs="Arial" w:eastAsia="Arial" w:hAnsi="Arial"/>
          <w:sz w:val="24"/>
          <w:szCs w:val="24"/>
        </w:rPr>
        <w:t xml:space="preserve">18. В случае непредставления налогоплательщиком заявления внесенные денежные средства остаются на депозитном счете налогового органа, при этом налоговый орган на основании решения в бесспорном порядке направляет денежные средства налогоплательщика без его согласия в счет уплаты суммы налогового обязательства по НДС на импорт и/или исполнения обязательств по другим налогам.</w:t>
      </w:r>
    </w:p>
    <w:p>
      <w:pPr>
        <w:spacing w:after="60"/>
        <w:ind w:firstLine="567"/>
        <w:jc w:val="both"/>
      </w:pPr>
      <w:r>
        <w:rPr>
          <w:rFonts w:ascii="Arial" w:cs="Arial" w:eastAsia="Arial" w:hAnsi="Arial"/>
          <w:sz w:val="24"/>
          <w:szCs w:val="24"/>
        </w:rPr>
        <w:t xml:space="preserve">19. Возврат на расчетный счет налогоплательщика и/или зачет внесенных сумм в бюджет осуществляется в срок не позднее 20 числа месяца, следующего за месяцем, в котором был осуществлен импорт товаров.".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yjla4u8qjwkbh42zdbm">
      <w:r>
        <w:rPr>
          <w:rFonts w:ascii="Arial" w:cs="Arial" w:eastAsia="Arial" w:hAnsi="Arial"/>
          <w:color w:val="132D3F"/>
          <w:sz w:val="16"/>
          <w:szCs w:val="16"/>
          <w:u w:val="single"/>
        </w:rPr>
        <w:t xml:space="preserve">dalil.kg/document/230027009</w:t>
      </w:r>
    </w:hyperlink>
  </w:p>
  <w:p>
    <w:pPr>
      <w:spacing w:after="0" w:before="40"/>
      <w:jc w:val="center"/>
    </w:pPr>
    <w:hyperlink w:history="1" r:id="rIdblj7bu2a0jys9co3ul0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9guwnjtajrbolv3r1fi" Type="http://schemas.openxmlformats.org/officeDocument/2006/relationships/hyperlink" Target="https://dalil.kg/document/112340#st_84" TargetMode="External"/><Relationship Id="rIdkshaknqk-xbtzmggjm3au" Type="http://schemas.openxmlformats.org/officeDocument/2006/relationships/hyperlink" Target="https://dalil.kg/document/112301#st_13" TargetMode="External"/><Relationship Id="rId0d25-xkruhomtbnfo5e98" Type="http://schemas.openxmlformats.org/officeDocument/2006/relationships/hyperlink" Target="https://dalil.kg/document/112301#st_17" TargetMode="External"/><Relationship Id="rIdmupltz1lwgfcxsnpzkktx" Type="http://schemas.openxmlformats.org/officeDocument/2006/relationships/hyperlink" Target="https://dalil.kg/document/159185" TargetMode="External"/><Relationship Id="rIdagfzbz0po8xr-qssavaj_" Type="http://schemas.openxmlformats.org/officeDocument/2006/relationships/hyperlink" Target="https://dalil.kg/document/159243" TargetMode="External"/><Relationship Id="rIdx2eojxrfk2e94i3ke7vvc" Type="http://schemas.openxmlformats.org/officeDocument/2006/relationships/hyperlink" Target="https://dalil.kg/document/159185" TargetMode="External"/><Relationship Id="rIdwb2p3b9uxno88r4pjsbg0" Type="http://schemas.openxmlformats.org/officeDocument/2006/relationships/hyperlink" Target="https://dalil.kg/document/230027051" TargetMode="External"/><Relationship Id="rIdicrrtcbssbj3glaonlp8w" Type="http://schemas.openxmlformats.org/officeDocument/2006/relationships/hyperlink" Target="https://dalil.kg/document/230027009#pr" TargetMode="External"/><Relationship Id="rIdx7v-5sc7pz1zyrpnt2mo3" Type="http://schemas.openxmlformats.org/officeDocument/2006/relationships/hyperlink" Target="https://dalil.kg/document/23002705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yjla4u8qjwkbh42zdbm" Type="http://schemas.openxmlformats.org/officeDocument/2006/relationships/hyperlink" Target="https://dalil.kg/document/230027009" TargetMode="External"/><Relationship Id="rIdblj7bu2a0jys9co3ul0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2026-09-24T04:17:58.644Z</dcterms:created>
  <dcterms:modified xsi:type="dcterms:W3CDTF">2026-09-24T04:17:58.644Z</dcterms:modified>
</cp:coreProperties>
</file>

<file path=docProps/custom.xml><?xml version="1.0" encoding="utf-8"?>
<Properties xmlns="http://schemas.openxmlformats.org/officeDocument/2006/custom-properties" xmlns:vt="http://schemas.openxmlformats.org/officeDocument/2006/docPropsVTypes"/>
</file>