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апреля 2025 года № 246</w:t>
      </w:r>
    </w:p>
    <w:p>
      <w:pPr>
        <w:spacing w:after="240" w:before="200"/>
        <w:jc w:val="center"/>
      </w:pPr>
      <w:r>
        <w:rPr>
          <w:rFonts w:ascii="Arial" w:cs="Arial" w:eastAsia="Arial" w:hAnsi="Arial"/>
          <w:b/>
          <w:bCs/>
          <w:sz w:val="28"/>
          <w:szCs w:val="28"/>
        </w:rPr>
        <w:t xml:space="preserve">Об утверждении пилотного общенационального классификатора - Зеленой таксономии Кыргызской Республики</w:t>
      </w:r>
    </w:p>
    <w:p>
      <w:pPr>
        <w:spacing w:after="120"/>
        <w:ind w:firstLine="567"/>
        <w:jc w:val="both"/>
      </w:pPr>
      <w:r>
        <w:rPr>
          <w:rFonts w:ascii="Arial" w:cs="Arial" w:eastAsia="Arial" w:hAnsi="Arial"/>
          <w:sz w:val="24"/>
          <w:szCs w:val="24"/>
        </w:rPr>
        <w:t xml:space="preserve">В целях установления единого понимания и определения зеленых технологий, проектов, товаров, услуг и создания благоприятной среды для привлечения зеленых и климатических инвестиций, в том числе укрепления позиции Кыргызской Республики на международном рынке устойчивого финансирования, реализации </w:t>
      </w:r>
      <w:hyperlink w:history="1" r:id="rIdia75nvidze_bkmhewb_on">
        <w:r>
          <w:rPr>
            <w:rFonts w:ascii="Arial" w:cs="Arial" w:eastAsia="Arial" w:hAnsi="Arial"/>
            <w:color w:val="1D4ED8"/>
            <w:sz w:val="24"/>
            <w:szCs w:val="24"/>
            <w:u w:val="single"/>
          </w:rPr>
          <w:t xml:space="preserve">статьи 284</w:t>
        </w:r>
      </w:hyperlink>
      <w:r>
        <w:rPr>
          <w:rFonts w:ascii="Arial" w:cs="Arial" w:eastAsia="Arial" w:hAnsi="Arial"/>
          <w:sz w:val="24"/>
          <w:szCs w:val="24"/>
        </w:rPr>
        <w:t xml:space="preserve">, подпункта 22 </w:t>
      </w:r>
      <w:hyperlink w:history="1" r:id="rIdslvajglq4icxrvsik8rg8">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tiljxmo3pazs1fjhqxn9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lqch9v5kmtd0npjffnh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пилотный общенациональный классификатор - Зеленую таксономию Кыргызской Республики (далее - Таксономия) согласно </w:t>
      </w:r>
      <w:hyperlink w:history="1" r:id="rIdqjnskpjjqqlvocqykbql4">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Определить сроком окончания пилотного режима Таксономии 30 июня 2028 года.</w:t>
      </w:r>
    </w:p>
    <w:p>
      <w:pPr>
        <w:spacing w:after="120"/>
        <w:ind w:firstLine="567"/>
        <w:jc w:val="both"/>
      </w:pPr>
      <w:r>
        <w:rPr>
          <w:rFonts w:ascii="Arial" w:cs="Arial" w:eastAsia="Arial" w:hAnsi="Arial"/>
          <w:sz w:val="24"/>
          <w:szCs w:val="24"/>
        </w:rPr>
        <w:t xml:space="preserve">3. Министерству экономики и коммерции Кыргызской Республики в течение 12 месяцев после утверждения Таксономии:</w:t>
      </w:r>
    </w:p>
    <w:p>
      <w:pPr>
        <w:spacing w:after="120"/>
        <w:ind w:firstLine="567"/>
        <w:jc w:val="both"/>
      </w:pPr>
      <w:r>
        <w:rPr>
          <w:rFonts w:ascii="Arial" w:cs="Arial" w:eastAsia="Arial" w:hAnsi="Arial"/>
          <w:sz w:val="24"/>
          <w:szCs w:val="24"/>
        </w:rPr>
        <w:t xml:space="preserve">- совместно с Государственной таможенной службой при Министерстве финансов Кыргызской Республики и Государственной налоговой службой при Министерстве финансов Кыргызской Республики создать открытый и единый цифровой реестр (электронную базу данных) зеленых товаров и услуг для упрощения идентификации и определения соответствия товаров и услуг требованиям Таксономии;</w:t>
      </w:r>
    </w:p>
    <w:p>
      <w:pPr>
        <w:spacing w:after="120"/>
        <w:ind w:firstLine="567"/>
        <w:jc w:val="both"/>
      </w:pPr>
      <w:r>
        <w:rPr>
          <w:rFonts w:ascii="Arial" w:cs="Arial" w:eastAsia="Arial" w:hAnsi="Arial"/>
          <w:sz w:val="24"/>
          <w:szCs w:val="24"/>
        </w:rPr>
        <w:t xml:space="preserve">- совместно с Государственной таможенной службой при Министерстве финансов Кыргызской Республики разработать для участников внешнеэкономической деятельности, специалистов по таможенным операциям и сотрудников таможенных органов визуальные справочники товаров, соответствующие Таксономии;</w:t>
      </w:r>
    </w:p>
    <w:p>
      <w:pPr>
        <w:spacing w:after="120"/>
        <w:ind w:firstLine="567"/>
        <w:jc w:val="both"/>
      </w:pPr>
      <w:r>
        <w:rPr>
          <w:rFonts w:ascii="Arial" w:cs="Arial" w:eastAsia="Arial" w:hAnsi="Arial"/>
          <w:sz w:val="24"/>
          <w:szCs w:val="24"/>
        </w:rPr>
        <w:t xml:space="preserve">- совместно с Государственной налоговой службой при Министерстве финансов Кыргызской Республики разработать должностные инструкции и справочники в контексте точного определения деятельности Таксономии;</w:t>
      </w:r>
    </w:p>
    <w:p>
      <w:pPr>
        <w:spacing w:after="120"/>
        <w:ind w:firstLine="567"/>
        <w:jc w:val="both"/>
      </w:pPr>
      <w:r>
        <w:rPr>
          <w:rFonts w:ascii="Arial" w:cs="Arial" w:eastAsia="Arial" w:hAnsi="Arial"/>
          <w:sz w:val="24"/>
          <w:szCs w:val="24"/>
        </w:rPr>
        <w:t xml:space="preserve">- для облегчения ведения углеродного учета совместно с Министерством природных ресурсов, экологии и технического надзора Кыргызской Республики разработать упрощенные коэффициенты выбросов основных видов ископаемого топлива и прочих источников выбросов в формате СО</w:t>
      </w:r>
      <w:r>
        <w:rPr>
          <w:rFonts w:ascii="Arial" w:cs="Arial" w:eastAsia="Arial" w:hAnsi="Arial"/>
          <w:sz w:val="24"/>
          <w:szCs w:val="24"/>
        </w:rPr>
        <w:t xml:space="preserve">2</w:t>
      </w:r>
      <w:r>
        <w:rPr>
          <w:rFonts w:ascii="Arial" w:cs="Arial" w:eastAsia="Arial" w:hAnsi="Arial"/>
          <w:sz w:val="24"/>
          <w:szCs w:val="24"/>
        </w:rPr>
        <w:t xml:space="preserve">е, приведенные к единицам измерения, которыми пользуются субъекты экономической деятельности для применения в ведении учета выбросов парниковых газов по видам экономической деятельности;</w:t>
      </w:r>
    </w:p>
    <w:p>
      <w:pPr>
        <w:spacing w:after="120"/>
        <w:ind w:firstLine="567"/>
        <w:jc w:val="both"/>
      </w:pPr>
      <w:r>
        <w:rPr>
          <w:rFonts w:ascii="Arial" w:cs="Arial" w:eastAsia="Arial" w:hAnsi="Arial"/>
          <w:sz w:val="24"/>
          <w:szCs w:val="24"/>
        </w:rPr>
        <w:t xml:space="preserve">- определить разрешительный механизм и требования к оценщикам деятельности и проектов, соответствующие Таксономии;</w:t>
      </w:r>
    </w:p>
    <w:p>
      <w:pPr>
        <w:spacing w:after="120"/>
        <w:ind w:firstLine="567"/>
        <w:jc w:val="both"/>
      </w:pPr>
      <w:r>
        <w:rPr>
          <w:rFonts w:ascii="Arial" w:cs="Arial" w:eastAsia="Arial" w:hAnsi="Arial"/>
          <w:sz w:val="24"/>
          <w:szCs w:val="24"/>
        </w:rPr>
        <w:t xml:space="preserve">- разработать форму документа подтверждения соответствия требованиям Таксономии.</w:t>
      </w:r>
    </w:p>
    <w:p>
      <w:pPr>
        <w:spacing w:after="120"/>
        <w:ind w:firstLine="567"/>
        <w:jc w:val="both"/>
      </w:pPr>
      <w:r>
        <w:rPr>
          <w:rFonts w:ascii="Arial" w:cs="Arial" w:eastAsia="Arial" w:hAnsi="Arial"/>
          <w:sz w:val="24"/>
          <w:szCs w:val="24"/>
        </w:rPr>
        <w:t xml:space="preserve">4. Национальному статистическому комитету Кыргызской Республики совместно с Министерством экономики и коммерции Кыргызской Республики обновить коды экономической деятельности в соответствии с NACE 2.1 и разработать новую версию Государственного статистического классификатора продукции на основе версии 3, в которой будут присутствовать подгруппы, исключительно покрывающие виды экономической деятельности, соответствующие требованиям Таксономии.</w:t>
      </w:r>
    </w:p>
    <w:p>
      <w:pPr>
        <w:spacing w:after="120"/>
        <w:ind w:firstLine="567"/>
        <w:jc w:val="both"/>
      </w:pPr>
      <w:r>
        <w:rPr>
          <w:rFonts w:ascii="Arial" w:cs="Arial" w:eastAsia="Arial" w:hAnsi="Arial"/>
          <w:sz w:val="24"/>
          <w:szCs w:val="24"/>
        </w:rPr>
        <w:t xml:space="preserve">5. Государственным органам исполнительной власти Кыргызской Республики, аппаратам полномочных представителей Президента Кыргызской Республики в областях и органам местного самоуправления (по согласованию) руководствоваться Таксономией в рамках деятельности зеленой экономики.</w:t>
      </w:r>
    </w:p>
    <w:p>
      <w:pPr>
        <w:spacing w:after="120"/>
        <w:ind w:firstLine="567"/>
        <w:jc w:val="both"/>
      </w:pPr>
      <w:r>
        <w:rPr>
          <w:rFonts w:ascii="Arial" w:cs="Arial" w:eastAsia="Arial" w:hAnsi="Arial"/>
          <w:sz w:val="24"/>
          <w:szCs w:val="24"/>
        </w:rPr>
        <w:t xml:space="preserve">6. Определить Министерство экономики и коммерции Кыргызской Республики ответственным государственным органом за общий мониторинг качества реализации Таксономии.</w:t>
      </w:r>
    </w:p>
    <w:p>
      <w:pPr>
        <w:spacing w:after="120"/>
        <w:ind w:firstLine="56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 мая 2025 года № 33 (3689)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Пилотный общенациональный классификатор - Зеленая таксономия Кыргызской Республики</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Настоящая Зеленая таксономия Кыргызской Республики (далее - Таксономия) является одним из основных столпов в структуре концепта зеленой экономики как долгосрочной стратегии развития Кыргызской Республики. С введением Таксономии официально появляется классификатор оборудований, товаров, услуг, технологий, а также проектов, которые идентифицируются как зеленые товары, оборудование, технологии, услуги и проекты, обладающие климатически нейтральными, энергоэффективными и ресурсосберегающими свойствами по их вкладу в достижение целей декарбонизации экономики.</w:t>
      </w:r>
    </w:p>
    <w:p>
      <w:pPr>
        <w:spacing w:after="120"/>
        <w:ind w:firstLine="567"/>
        <w:jc w:val="both"/>
      </w:pPr>
      <w:r>
        <w:rPr>
          <w:rFonts w:ascii="Arial" w:cs="Arial" w:eastAsia="Arial" w:hAnsi="Arial"/>
          <w:sz w:val="24"/>
          <w:szCs w:val="24"/>
        </w:rPr>
        <w:t xml:space="preserve">2. Таксономия является универсальным инструментом, направленным на достижение определенных и специфических целей по нескольким ключевым направлениям, а именно:</w:t>
      </w:r>
    </w:p>
    <w:p>
      <w:pPr>
        <w:spacing w:after="120"/>
        <w:ind w:firstLine="567"/>
        <w:jc w:val="both"/>
      </w:pPr>
      <w:r>
        <w:rPr>
          <w:rFonts w:ascii="Arial" w:cs="Arial" w:eastAsia="Arial" w:hAnsi="Arial"/>
          <w:sz w:val="24"/>
          <w:szCs w:val="24"/>
        </w:rPr>
        <w:t xml:space="preserve">1) возможность выпускать зеленые финансовые инструменты и зеленые кредитные продукты, наращивая их долю в портфеле коммерческих кредитно-финансовых институтов;</w:t>
      </w:r>
    </w:p>
    <w:p>
      <w:pPr>
        <w:spacing w:after="120"/>
        <w:ind w:firstLine="567"/>
        <w:jc w:val="both"/>
      </w:pPr>
      <w:r>
        <w:rPr>
          <w:rFonts w:ascii="Arial" w:cs="Arial" w:eastAsia="Arial" w:hAnsi="Arial"/>
          <w:sz w:val="24"/>
          <w:szCs w:val="24"/>
        </w:rPr>
        <w:t xml:space="preserve">2) привлечение дополнительных источников капитала в виде устойчивого финансирования через климатическое и зеленое финансирование;</w:t>
      </w:r>
    </w:p>
    <w:p>
      <w:pPr>
        <w:spacing w:after="120"/>
        <w:ind w:firstLine="567"/>
        <w:jc w:val="both"/>
      </w:pPr>
      <w:r>
        <w:rPr>
          <w:rFonts w:ascii="Arial" w:cs="Arial" w:eastAsia="Arial" w:hAnsi="Arial"/>
          <w:sz w:val="24"/>
          <w:szCs w:val="24"/>
        </w:rPr>
        <w:t xml:space="preserve">3) предотвращение зеленого отмывания;</w:t>
      </w:r>
    </w:p>
    <w:p>
      <w:pPr>
        <w:spacing w:after="120"/>
        <w:ind w:firstLine="567"/>
        <w:jc w:val="both"/>
      </w:pPr>
      <w:r>
        <w:rPr>
          <w:rFonts w:ascii="Arial" w:cs="Arial" w:eastAsia="Arial" w:hAnsi="Arial"/>
          <w:sz w:val="24"/>
          <w:szCs w:val="24"/>
        </w:rPr>
        <w:t xml:space="preserve">4) наращивание доли устойчивых и зеленых государственных закупок;</w:t>
      </w:r>
    </w:p>
    <w:p>
      <w:pPr>
        <w:spacing w:after="120"/>
        <w:ind w:firstLine="567"/>
        <w:jc w:val="both"/>
      </w:pPr>
      <w:r>
        <w:rPr>
          <w:rFonts w:ascii="Arial" w:cs="Arial" w:eastAsia="Arial" w:hAnsi="Arial"/>
          <w:sz w:val="24"/>
          <w:szCs w:val="24"/>
        </w:rPr>
        <w:t xml:space="preserve">5) улучшение способности населения переходить на использование зеленых технологий через конкурентное и адекватное ценообразование;</w:t>
      </w:r>
    </w:p>
    <w:p>
      <w:pPr>
        <w:spacing w:after="120"/>
        <w:ind w:firstLine="567"/>
        <w:jc w:val="both"/>
      </w:pPr>
      <w:r>
        <w:rPr>
          <w:rFonts w:ascii="Arial" w:cs="Arial" w:eastAsia="Arial" w:hAnsi="Arial"/>
          <w:sz w:val="24"/>
          <w:szCs w:val="24"/>
        </w:rPr>
        <w:t xml:space="preserve">6) постепенная трансформация рынка на более устойчивый цикл зеленого развития.</w:t>
      </w:r>
    </w:p>
    <w:p>
      <w:pPr>
        <w:spacing w:after="120"/>
        <w:ind w:firstLine="567"/>
        <w:jc w:val="both"/>
      </w:pPr>
      <w:r>
        <w:rPr>
          <w:rFonts w:ascii="Arial" w:cs="Arial" w:eastAsia="Arial" w:hAnsi="Arial"/>
          <w:sz w:val="24"/>
          <w:szCs w:val="24"/>
        </w:rPr>
        <w:t xml:space="preserve">3. Таксономия является общенациональным классификатором проектов, технологий, деятельности, оборудований и товаров на предмет соответствия техническим критериям, которые отвечают следующим требованиям:</w:t>
      </w:r>
    </w:p>
    <w:p>
      <w:pPr>
        <w:spacing w:after="120"/>
        <w:ind w:firstLine="567"/>
        <w:jc w:val="both"/>
      </w:pPr>
      <w:r>
        <w:rPr>
          <w:rFonts w:ascii="Arial" w:cs="Arial" w:eastAsia="Arial" w:hAnsi="Arial"/>
          <w:sz w:val="24"/>
          <w:szCs w:val="24"/>
        </w:rPr>
        <w:t xml:space="preserve">1) национальные цели декарбонизации экономики;</w:t>
      </w:r>
    </w:p>
    <w:p>
      <w:pPr>
        <w:spacing w:after="120"/>
        <w:ind w:firstLine="567"/>
        <w:jc w:val="both"/>
      </w:pPr>
      <w:r>
        <w:rPr>
          <w:rFonts w:ascii="Arial" w:cs="Arial" w:eastAsia="Arial" w:hAnsi="Arial"/>
          <w:sz w:val="24"/>
          <w:szCs w:val="24"/>
        </w:rPr>
        <w:t xml:space="preserve">2) наличие косвенных или прямых энергоэффективных, или энергосберегающих, или ресурсосберегающих свойств, позволяющих реализовать эти свойства;</w:t>
      </w:r>
    </w:p>
    <w:p>
      <w:pPr>
        <w:spacing w:after="120"/>
        <w:ind w:firstLine="567"/>
        <w:jc w:val="both"/>
      </w:pPr>
      <w:r>
        <w:rPr>
          <w:rFonts w:ascii="Arial" w:cs="Arial" w:eastAsia="Arial" w:hAnsi="Arial"/>
          <w:sz w:val="24"/>
          <w:szCs w:val="24"/>
        </w:rPr>
        <w:t xml:space="preserve">3) возможность снижения выбросов парниковых газов;</w:t>
      </w:r>
    </w:p>
    <w:p>
      <w:pPr>
        <w:spacing w:after="120"/>
        <w:ind w:firstLine="567"/>
        <w:jc w:val="both"/>
      </w:pPr>
      <w:r>
        <w:rPr>
          <w:rFonts w:ascii="Arial" w:cs="Arial" w:eastAsia="Arial" w:hAnsi="Arial"/>
          <w:sz w:val="24"/>
          <w:szCs w:val="24"/>
        </w:rPr>
        <w:t xml:space="preserve">4) преобразование энергии из возобновляемых источников в привычные для потребления виды энергии;</w:t>
      </w:r>
    </w:p>
    <w:p>
      <w:pPr>
        <w:spacing w:after="120"/>
        <w:ind w:firstLine="567"/>
        <w:jc w:val="both"/>
      </w:pPr>
      <w:r>
        <w:rPr>
          <w:rFonts w:ascii="Arial" w:cs="Arial" w:eastAsia="Arial" w:hAnsi="Arial"/>
          <w:sz w:val="24"/>
          <w:szCs w:val="24"/>
        </w:rPr>
        <w:t xml:space="preserve">5) снижение количества вредных веществ, выбрасываемых в окружающую среду;</w:t>
      </w:r>
    </w:p>
    <w:p>
      <w:pPr>
        <w:spacing w:after="120"/>
        <w:ind w:firstLine="567"/>
        <w:jc w:val="both"/>
      </w:pPr>
      <w:r>
        <w:rPr>
          <w:rFonts w:ascii="Arial" w:cs="Arial" w:eastAsia="Arial" w:hAnsi="Arial"/>
          <w:sz w:val="24"/>
          <w:szCs w:val="24"/>
        </w:rPr>
        <w:t xml:space="preserve">6) достижение Целей устойчивого развития Организации Объединенных Наций в секторах, не имеющих прямого отношения к сокращению выбросов парниковых газов, но поддерживающих соответствующие Цели устойчивого развития Организации Объединенных Наций;</w:t>
      </w:r>
    </w:p>
    <w:p>
      <w:pPr>
        <w:spacing w:after="120"/>
        <w:ind w:firstLine="567"/>
        <w:jc w:val="both"/>
      </w:pPr>
      <w:r>
        <w:rPr>
          <w:rFonts w:ascii="Arial" w:cs="Arial" w:eastAsia="Arial" w:hAnsi="Arial"/>
          <w:sz w:val="24"/>
          <w:szCs w:val="24"/>
        </w:rPr>
        <w:t xml:space="preserve">7) адаптация к последствиям изменения климата.</w:t>
      </w:r>
    </w:p>
    <w:p>
      <w:pPr>
        <w:spacing w:after="120"/>
        <w:ind w:firstLine="567"/>
        <w:jc w:val="both"/>
      </w:pPr>
      <w:r>
        <w:rPr>
          <w:rFonts w:ascii="Arial" w:cs="Arial" w:eastAsia="Arial" w:hAnsi="Arial"/>
          <w:sz w:val="24"/>
          <w:szCs w:val="24"/>
        </w:rPr>
        <w:t xml:space="preserve">4. Таксономия является пилотной. В последующем список товаров, деятельности и отраслей будет расширен. Отрасли и категории, которые вошли в Таксономию имеют наибольший потенциальный спрос в реальном секторе экономики, а также стратегическое значение для государства в контексте улучшения качества жизни населения и снижения загрязнения окружающей среды.</w:t>
      </w:r>
    </w:p>
    <w:p>
      <w:pPr>
        <w:spacing w:after="120"/>
        <w:ind w:firstLine="567"/>
        <w:jc w:val="both"/>
      </w:pPr>
      <w:r>
        <w:rPr>
          <w:rFonts w:ascii="Arial" w:cs="Arial" w:eastAsia="Arial" w:hAnsi="Arial"/>
          <w:sz w:val="24"/>
          <w:szCs w:val="24"/>
        </w:rPr>
        <w:t xml:space="preserve">5. В Таксономии используются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отрасль</w:t>
      </w:r>
      <w:r>
        <w:rPr>
          <w:rFonts w:ascii="Arial" w:cs="Arial" w:eastAsia="Arial" w:hAnsi="Arial"/>
          <w:sz w:val="24"/>
          <w:szCs w:val="24"/>
        </w:rPr>
        <w:t xml:space="preserve"> - высшая категория классификации Таксономии, представляющая логическую группировку подкатегорий в соответствии с сектором экономики или тематической деятельностью;</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категория</w:t>
      </w:r>
      <w:r>
        <w:rPr>
          <w:rFonts w:ascii="Arial" w:cs="Arial" w:eastAsia="Arial" w:hAnsi="Arial"/>
          <w:sz w:val="24"/>
          <w:szCs w:val="24"/>
        </w:rPr>
        <w:t xml:space="preserve"> - второй уровень классификации деятельности, который формирует подгруппы в соответствии с детальными экономическими или технологическими параметрами. Категории унифицированы в соответствии с существующими юридическими определениями действующей нормативной правовой базы Кыргызской Республики с учетом требований категорий международных таксономий;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технология</w:t>
      </w:r>
      <w:r>
        <w:rPr>
          <w:rFonts w:ascii="Arial" w:cs="Arial" w:eastAsia="Arial" w:hAnsi="Arial"/>
          <w:sz w:val="24"/>
          <w:szCs w:val="24"/>
        </w:rPr>
        <w:t xml:space="preserve"> - третий уровень классификации, который описывает зеленую деятельность на основе физических, химических и биологических процессов или основных функциональных понятий деятельности;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функциональная группа</w:t>
      </w:r>
      <w:r>
        <w:rPr>
          <w:rFonts w:ascii="Arial" w:cs="Arial" w:eastAsia="Arial" w:hAnsi="Arial"/>
          <w:sz w:val="24"/>
          <w:szCs w:val="24"/>
        </w:rPr>
        <w:t xml:space="preserve"> - деятельность в цепочке добавленной стоимости технологии;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компонент</w:t>
      </w:r>
      <w:r>
        <w:rPr>
          <w:rFonts w:ascii="Arial" w:cs="Arial" w:eastAsia="Arial" w:hAnsi="Arial"/>
          <w:sz w:val="24"/>
          <w:szCs w:val="24"/>
        </w:rPr>
        <w:t xml:space="preserve"> - специфика товара, оборудования или деятельности и технологии;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критерии</w:t>
      </w:r>
      <w:r>
        <w:rPr>
          <w:rFonts w:ascii="Arial" w:cs="Arial" w:eastAsia="Arial" w:hAnsi="Arial"/>
          <w:sz w:val="24"/>
          <w:szCs w:val="24"/>
        </w:rPr>
        <w:t xml:space="preserve"> - технические требования для соответствия Таксономии;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уточнения</w:t>
      </w:r>
      <w:r>
        <w:rPr>
          <w:rFonts w:ascii="Arial" w:cs="Arial" w:eastAsia="Arial" w:hAnsi="Arial"/>
          <w:sz w:val="24"/>
          <w:szCs w:val="24"/>
        </w:rPr>
        <w:t xml:space="preserve"> - необходимые детали для эффективного применения критериев;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параметры проекта</w:t>
      </w:r>
      <w:r>
        <w:rPr>
          <w:rFonts w:ascii="Arial" w:cs="Arial" w:eastAsia="Arial" w:hAnsi="Arial"/>
          <w:sz w:val="24"/>
          <w:szCs w:val="24"/>
        </w:rPr>
        <w:t xml:space="preserve"> - необходимые требования по контролю социальных и экологических рисков или внешней оценки;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налоговый статус</w:t>
      </w:r>
      <w:r>
        <w:rPr>
          <w:rFonts w:ascii="Arial" w:cs="Arial" w:eastAsia="Arial" w:hAnsi="Arial"/>
          <w:sz w:val="24"/>
          <w:szCs w:val="24"/>
        </w:rPr>
        <w:t xml:space="preserve"> - налоговые преференции, предоставляющиеся к конкретному виду деятельности/технологии или товарам/оборудованию;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пользователи Таксономии</w:t>
      </w:r>
      <w:r>
        <w:rPr>
          <w:rFonts w:ascii="Arial" w:cs="Arial" w:eastAsia="Arial" w:hAnsi="Arial"/>
          <w:sz w:val="24"/>
          <w:szCs w:val="24"/>
        </w:rPr>
        <w:t xml:space="preserve"> - физические или юридические лица без привязки к статусу резидента в Кыргызской Республике, органы государственного управления или органы местного самоуправления Кыргызской Республики;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инвестиции</w:t>
      </w:r>
      <w:r>
        <w:rPr>
          <w:rFonts w:ascii="Arial" w:cs="Arial" w:eastAsia="Arial" w:hAnsi="Arial"/>
          <w:sz w:val="24"/>
          <w:szCs w:val="24"/>
        </w:rPr>
        <w:t xml:space="preserve"> - в соответствии с определением в </w:t>
      </w:r>
      <w:r>
        <w:rPr>
          <w:rFonts w:ascii="Arial" w:cs="Arial" w:eastAsia="Arial" w:hAnsi="Arial"/>
          <w:sz w:val="24"/>
          <w:szCs w:val="24"/>
        </w:rPr>
        <w:t xml:space="preserve">статье 1</w:t>
      </w:r>
      <w:hyperlink w:history="1" r:id="rId0gku4ghmtkapd2mjyg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инвестициях в Кыргызской Республике";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зеленая деятельность</w:t>
      </w:r>
      <w:r>
        <w:rPr>
          <w:rFonts w:ascii="Arial" w:cs="Arial" w:eastAsia="Arial" w:hAnsi="Arial"/>
          <w:sz w:val="24"/>
          <w:szCs w:val="24"/>
        </w:rPr>
        <w:t xml:space="preserve"> - экономическая деятельность или технология, удовлетворяющая целям и критериям Таксономии;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зеленые товары</w:t>
      </w:r>
      <w:r>
        <w:rPr>
          <w:rFonts w:ascii="Arial" w:cs="Arial" w:eastAsia="Arial" w:hAnsi="Arial"/>
          <w:sz w:val="24"/>
          <w:szCs w:val="24"/>
        </w:rPr>
        <w:t xml:space="preserve"> - товары или оборудование, имеющие низкоуглеродные, энергоэффективные, энергосберегающие или ресурсосберегающие качества, а также товары и оборудование, которые позволяют реализовать экономическую деятельность, удовлетворяющую целям и критериям Таксономии;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зеленый проект</w:t>
      </w:r>
      <w:r>
        <w:rPr>
          <w:rFonts w:ascii="Arial" w:cs="Arial" w:eastAsia="Arial" w:hAnsi="Arial"/>
          <w:sz w:val="24"/>
          <w:szCs w:val="24"/>
        </w:rPr>
        <w:t xml:space="preserve"> - совокупность мероприятий, которые объединены в целостную инвестиционную деятельность, имеющих четкое начало и конец, где индивидуальные мероприятия или общая цель соответствуют требованиям Таксономии;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зеленое финансирование</w:t>
      </w:r>
      <w:r>
        <w:rPr>
          <w:rFonts w:ascii="Arial" w:cs="Arial" w:eastAsia="Arial" w:hAnsi="Arial"/>
          <w:sz w:val="24"/>
          <w:szCs w:val="24"/>
        </w:rPr>
        <w:t xml:space="preserve"> - инвестиции в деятельность, проекты или активы, которые соответствуют требованиям Таксономии, а также международный термин, который включает в себя климатическое, голубое и экологическое финансирование, включая финансирование защиты или развитие биоразнообразия;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голубое финансирование</w:t>
      </w:r>
      <w:r>
        <w:rPr>
          <w:rFonts w:ascii="Arial" w:cs="Arial" w:eastAsia="Arial" w:hAnsi="Arial"/>
          <w:sz w:val="24"/>
          <w:szCs w:val="24"/>
        </w:rPr>
        <w:t xml:space="preserve"> - инвестиции в деятельность, проекты или активы, которые позволяют сократить потребление воды, улучшить качество воды и управление водными ресурсами, включая аквакультуру, снизить выбросы загрязняющих веществ в поверхностные или подземные водоемы и/или помогают достичь ЦУР № 6;</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экологическое финансирование</w:t>
      </w:r>
      <w:r>
        <w:rPr>
          <w:rFonts w:ascii="Arial" w:cs="Arial" w:eastAsia="Arial" w:hAnsi="Arial"/>
          <w:sz w:val="24"/>
          <w:szCs w:val="24"/>
        </w:rPr>
        <w:t xml:space="preserve"> - инвестиции в деятельность, проекты или активы, которые позволяют сократить загрязнение окружающей среды, а также выбросы вредных для экологии веществ, которые не являются парниковыми газами;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климатическое финансирование</w:t>
      </w:r>
      <w:r>
        <w:rPr>
          <w:rFonts w:ascii="Arial" w:cs="Arial" w:eastAsia="Arial" w:hAnsi="Arial"/>
          <w:sz w:val="24"/>
          <w:szCs w:val="24"/>
        </w:rPr>
        <w:t xml:space="preserve"> - международный термин, который включает в себя финансирование активов и/или проектов, нацеленных на снижение выбросов парниковых газов и/или адаптацию к изменению климата;</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устойчивое финансирование</w:t>
      </w:r>
      <w:r>
        <w:rPr>
          <w:rFonts w:ascii="Arial" w:cs="Arial" w:eastAsia="Arial" w:hAnsi="Arial"/>
          <w:sz w:val="24"/>
          <w:szCs w:val="24"/>
        </w:rPr>
        <w:t xml:space="preserve"> - международный термин, который включает в себя зеленое и социальное финансирование;</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кредит -</w:t>
      </w:r>
      <w:r>
        <w:rPr>
          <w:rFonts w:ascii="Arial" w:cs="Arial" w:eastAsia="Arial" w:hAnsi="Arial"/>
          <w:sz w:val="24"/>
          <w:szCs w:val="24"/>
        </w:rPr>
        <w:t xml:space="preserve"> в соответствии с общепринятым значением в законодательстве Кыргызской Республики и в международной банковской практике;</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зеленый кредит</w:t>
      </w:r>
      <w:r>
        <w:rPr>
          <w:rFonts w:ascii="Arial" w:cs="Arial" w:eastAsia="Arial" w:hAnsi="Arial"/>
          <w:sz w:val="24"/>
          <w:szCs w:val="24"/>
        </w:rPr>
        <w:t xml:space="preserve"> - кредит, выданный для финансирования целей зеленого финансирования;</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финансовый инструмент</w:t>
      </w:r>
      <w:r>
        <w:rPr>
          <w:rFonts w:ascii="Arial" w:cs="Arial" w:eastAsia="Arial" w:hAnsi="Arial"/>
          <w:sz w:val="24"/>
          <w:szCs w:val="24"/>
        </w:rPr>
        <w:t xml:space="preserve"> - в соответствии с определением в </w:t>
      </w:r>
      <w:hyperlink w:history="1" r:id="rIdu-xuhocv1euic26c4fjeg">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 рынке ценных бумаг";</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зеленый актив</w:t>
      </w:r>
      <w:r>
        <w:rPr>
          <w:rFonts w:ascii="Arial" w:cs="Arial" w:eastAsia="Arial" w:hAnsi="Arial"/>
          <w:sz w:val="24"/>
          <w:szCs w:val="24"/>
        </w:rPr>
        <w:t xml:space="preserve"> - физическое движимое и недвижимое имущество, характеристики которого удовлетворяют требованиям Таксономии;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зеленый финансовый инструмент</w:t>
      </w:r>
      <w:r>
        <w:rPr>
          <w:rFonts w:ascii="Arial" w:cs="Arial" w:eastAsia="Arial" w:hAnsi="Arial"/>
          <w:sz w:val="24"/>
          <w:szCs w:val="24"/>
        </w:rPr>
        <w:t xml:space="preserve"> - финансовый инструмент, целевое использование средств которого направлено исключительно на цели зеленого финансирования;</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зеленая облигация</w:t>
      </w:r>
      <w:r>
        <w:rPr>
          <w:rFonts w:ascii="Arial" w:cs="Arial" w:eastAsia="Arial" w:hAnsi="Arial"/>
          <w:sz w:val="24"/>
          <w:szCs w:val="24"/>
        </w:rPr>
        <w:t xml:space="preserve"> - финансовый инструмент, целевое использование средств которого направлено исключительно на цели зеленого финансирования;</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оценщик</w:t>
      </w:r>
      <w:r>
        <w:rPr>
          <w:rFonts w:ascii="Arial" w:cs="Arial" w:eastAsia="Arial" w:hAnsi="Arial"/>
          <w:sz w:val="24"/>
          <w:szCs w:val="24"/>
        </w:rPr>
        <w:t xml:space="preserve"> - физическое или юридическое лицо, подтвердившее свою квалификацию и получившее разрешение на вынесение мнения независимого оценщика или документа соответствия Таксономии в порядке, предусмотренном нормативными правовыми актами Кыргызской Республики. До момента создания института оценщиков международно-признанные организации могут осуществлять оценку соответствия проектов на соответствие Таксономии;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мнение независимого оценщика</w:t>
      </w:r>
      <w:r>
        <w:rPr>
          <w:rFonts w:ascii="Arial" w:cs="Arial" w:eastAsia="Arial" w:hAnsi="Arial"/>
          <w:sz w:val="24"/>
          <w:szCs w:val="24"/>
        </w:rPr>
        <w:t xml:space="preserve"> - оценка соответствия проекта требованиям Таксономии, именуемая в международной практике как "мнение второй стороны/Second Party Opinion";</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документ соответствия</w:t>
      </w:r>
      <w:r>
        <w:rPr>
          <w:rFonts w:ascii="Arial" w:cs="Arial" w:eastAsia="Arial" w:hAnsi="Arial"/>
          <w:sz w:val="24"/>
          <w:szCs w:val="24"/>
        </w:rPr>
        <w:t xml:space="preserve"> - физический или электронный документ, подтверждающий соответствие требованиям Таксономии, оформленный согласно требованиям уполномоченного органа по зеленой экономике в Кыргызской Республике;</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налог на добавленную стоимость (НДС)</w:t>
      </w:r>
      <w:r>
        <w:rPr>
          <w:rFonts w:ascii="Arial" w:cs="Arial" w:eastAsia="Arial" w:hAnsi="Arial"/>
          <w:sz w:val="24"/>
          <w:szCs w:val="24"/>
        </w:rPr>
        <w:t xml:space="preserve"> - в соответствии со </w:t>
      </w:r>
      <w:hyperlink w:history="1" r:id="rIdnhqwwgetr7jz_zgsndvmt">
        <w:r>
          <w:rPr>
            <w:rFonts w:ascii="Arial" w:cs="Arial" w:eastAsia="Arial" w:hAnsi="Arial"/>
            <w:color w:val="1D4ED8"/>
            <w:sz w:val="24"/>
            <w:szCs w:val="24"/>
            <w:u w:val="single"/>
          </w:rPr>
          <w:t xml:space="preserve">статьей 252</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таможенная территория</w:t>
      </w:r>
      <w:r>
        <w:rPr>
          <w:rFonts w:ascii="Arial" w:cs="Arial" w:eastAsia="Arial" w:hAnsi="Arial"/>
          <w:sz w:val="24"/>
          <w:szCs w:val="24"/>
        </w:rPr>
        <w:t xml:space="preserve"> - в соответствии со </w:t>
      </w:r>
      <w:hyperlink w:history="1" r:id="rIdddxhpyce-dyybjcff_5cm">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таможенном регулировании";</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иностранный товар</w:t>
      </w:r>
      <w:r>
        <w:rPr>
          <w:rFonts w:ascii="Arial" w:cs="Arial" w:eastAsia="Arial" w:hAnsi="Arial"/>
          <w:sz w:val="24"/>
          <w:szCs w:val="24"/>
        </w:rPr>
        <w:t xml:space="preserve"> - в соответствии с </w:t>
      </w:r>
      <w:hyperlink w:history="1" r:id="rIdrsu6x6cwdig7d_grpqal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оборудование</w:t>
      </w:r>
      <w:r>
        <w:rPr>
          <w:rFonts w:ascii="Arial" w:cs="Arial" w:eastAsia="Arial" w:hAnsi="Arial"/>
          <w:sz w:val="24"/>
          <w:szCs w:val="24"/>
        </w:rPr>
        <w:t xml:space="preserve"> - изделие или товар, удовлетворяющие требованиям Таксономии;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поставка технологий</w:t>
      </w:r>
      <w:r>
        <w:rPr>
          <w:rFonts w:ascii="Arial" w:cs="Arial" w:eastAsia="Arial" w:hAnsi="Arial"/>
          <w:sz w:val="24"/>
          <w:szCs w:val="24"/>
        </w:rPr>
        <w:t xml:space="preserve"> - предоставление услуг и прочей интеллектуальной собственности, которые позволяют достичь цели Таксономии;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субъекты предпринимательства</w:t>
      </w:r>
      <w:r>
        <w:rPr>
          <w:rFonts w:ascii="Arial" w:cs="Arial" w:eastAsia="Arial" w:hAnsi="Arial"/>
          <w:sz w:val="24"/>
          <w:szCs w:val="24"/>
        </w:rPr>
        <w:t xml:space="preserve"> - в соответствии со </w:t>
      </w:r>
      <w:hyperlink w:history="1" r:id="rIdvmnllsuygzy_8ekfki6sb">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защите прав предпринимателей";</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GHG Protocol</w:t>
      </w:r>
      <w:r>
        <w:rPr>
          <w:rFonts w:ascii="Arial" w:cs="Arial" w:eastAsia="Arial" w:hAnsi="Arial"/>
          <w:sz w:val="24"/>
          <w:szCs w:val="24"/>
        </w:rPr>
        <w:t xml:space="preserve"> - серия международных стандартов составления отчетности по выбросам парниковых газов. Тексты стандарта доступны по ссылке https://ghgprotocol.org. В контексте применения стандарта используются следующие понятия, приведенные как справочные данные, точное определение которых должно соответствовать стандартам;</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охват 1</w:t>
      </w:r>
      <w:r>
        <w:rPr>
          <w:rFonts w:ascii="Arial" w:cs="Arial" w:eastAsia="Arial" w:hAnsi="Arial"/>
          <w:sz w:val="24"/>
          <w:szCs w:val="24"/>
        </w:rPr>
        <w:t xml:space="preserve"> - выбросы парниковых газов от источников, которые контролируются напрямую;</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охват 2</w:t>
      </w:r>
      <w:r>
        <w:rPr>
          <w:rFonts w:ascii="Arial" w:cs="Arial" w:eastAsia="Arial" w:hAnsi="Arial"/>
          <w:sz w:val="24"/>
          <w:szCs w:val="24"/>
        </w:rPr>
        <w:t xml:space="preserve"> - выбросы парниковых газов от потребления сетевых энергоносителей;</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охват 3</w:t>
      </w:r>
      <w:r>
        <w:rPr>
          <w:rFonts w:ascii="Arial" w:cs="Arial" w:eastAsia="Arial" w:hAnsi="Arial"/>
          <w:sz w:val="24"/>
          <w:szCs w:val="24"/>
        </w:rPr>
        <w:t xml:space="preserve"> - выбросы парниковых газов в цепочке добавленной стоимости;</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охват 3, категория 15</w:t>
      </w:r>
      <w:r>
        <w:rPr>
          <w:rFonts w:ascii="Arial" w:cs="Arial" w:eastAsia="Arial" w:hAnsi="Arial"/>
          <w:sz w:val="24"/>
          <w:szCs w:val="24"/>
        </w:rPr>
        <w:t xml:space="preserve"> - выбросы парниковых газов от инвестиционной деятельности;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коэффициент выбросов</w:t>
      </w:r>
      <w:r>
        <w:rPr>
          <w:rFonts w:ascii="Arial" w:cs="Arial" w:eastAsia="Arial" w:hAnsi="Arial"/>
          <w:sz w:val="24"/>
          <w:szCs w:val="24"/>
        </w:rPr>
        <w:t xml:space="preserve"> - цифровое значение, позволяющее оценить число выбросов парниковых газов при потреблении товарного количества ископаемого топлива, сетевого энергоносителя (электроэнергии, тепловой энергии) или других показателей экономической деятельности;</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коэффициент парниковости</w:t>
      </w:r>
      <w:r>
        <w:rPr>
          <w:rFonts w:ascii="Arial" w:cs="Arial" w:eastAsia="Arial" w:hAnsi="Arial"/>
          <w:sz w:val="24"/>
          <w:szCs w:val="24"/>
        </w:rPr>
        <w:t xml:space="preserve"> - в соответствии с определением термина "коэффициенты пересчета количества парниковых газов" в </w:t>
      </w:r>
      <w:r>
        <w:rPr>
          <w:rFonts w:ascii="Arial" w:cs="Arial" w:eastAsia="Arial" w:hAnsi="Arial"/>
          <w:sz w:val="24"/>
          <w:szCs w:val="24"/>
        </w:rPr>
        <w:t xml:space="preserve">статье 2</w:t>
      </w:r>
      <w:hyperlink w:history="1" r:id="rId8c-nnupc_plon3k1way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регулировании и политике в области эмиссии и поглощения парниковых газов" и уточнением, что в рамках вышеуказанного Закона, коэффициент парниковости это эквивалентный парниковый эффект в атмосфере от выброса 1 кг парникового газа в перспективе на 100 лет, приведенный к эквивалентному парниковому эффекту от выбросов х кг СО</w:t>
      </w:r>
      <w:r>
        <w:rPr>
          <w:rFonts w:ascii="Arial" w:cs="Arial" w:eastAsia="Arial" w:hAnsi="Arial"/>
          <w:sz w:val="24"/>
          <w:szCs w:val="24"/>
        </w:rPr>
        <w:t xml:space="preserve">2</w:t>
      </w:r>
      <w:r>
        <w:rPr>
          <w:rFonts w:ascii="Arial" w:cs="Arial" w:eastAsia="Arial" w:hAnsi="Arial"/>
          <w:sz w:val="24"/>
          <w:szCs w:val="24"/>
        </w:rPr>
        <w:t xml:space="preserve"> в том же временном пространстве;</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СО</w:t>
      </w:r>
      <w:r>
        <w:rPr>
          <w:rFonts w:ascii="Arial" w:cs="Arial" w:eastAsia="Arial" w:hAnsi="Arial"/>
          <w:b/>
          <w:bCs/>
          <w:sz w:val="24"/>
          <w:szCs w:val="24"/>
        </w:rPr>
        <w:t xml:space="preserve">2</w:t>
      </w:r>
      <w:r>
        <w:rPr>
          <w:rFonts w:ascii="Arial" w:cs="Arial" w:eastAsia="Arial" w:hAnsi="Arial"/>
          <w:b/>
          <w:bCs/>
          <w:sz w:val="24"/>
          <w:szCs w:val="24"/>
        </w:rPr>
        <w:t xml:space="preserve">е</w:t>
      </w:r>
      <w:r>
        <w:rPr>
          <w:rFonts w:ascii="Arial" w:cs="Arial" w:eastAsia="Arial" w:hAnsi="Arial"/>
          <w:sz w:val="24"/>
          <w:szCs w:val="24"/>
        </w:rPr>
        <w:t xml:space="preserve"> - СО</w:t>
      </w:r>
      <w:r>
        <w:rPr>
          <w:rFonts w:ascii="Arial" w:cs="Arial" w:eastAsia="Arial" w:hAnsi="Arial"/>
          <w:sz w:val="24"/>
          <w:szCs w:val="24"/>
        </w:rPr>
        <w:t xml:space="preserve">2</w:t>
      </w:r>
      <w:r>
        <w:rPr>
          <w:rFonts w:ascii="Arial" w:cs="Arial" w:eastAsia="Arial" w:hAnsi="Arial"/>
          <w:sz w:val="24"/>
          <w:szCs w:val="24"/>
        </w:rPr>
        <w:t xml:space="preserve"> эквивалент, коэффициент выбросов, который включает количество выбросов СО</w:t>
      </w:r>
      <w:r>
        <w:rPr>
          <w:rFonts w:ascii="Arial" w:cs="Arial" w:eastAsia="Arial" w:hAnsi="Arial"/>
          <w:sz w:val="24"/>
          <w:szCs w:val="24"/>
        </w:rPr>
        <w:t xml:space="preserve">2</w:t>
      </w:r>
      <w:r>
        <w:rPr>
          <w:rFonts w:ascii="Arial" w:cs="Arial" w:eastAsia="Arial" w:hAnsi="Arial"/>
          <w:sz w:val="24"/>
          <w:szCs w:val="24"/>
        </w:rPr>
        <w:t xml:space="preserve">, а также СН</w:t>
      </w:r>
      <w:r>
        <w:rPr>
          <w:rFonts w:ascii="Arial" w:cs="Arial" w:eastAsia="Arial" w:hAnsi="Arial"/>
          <w:sz w:val="24"/>
          <w:szCs w:val="24"/>
        </w:rPr>
        <w:t xml:space="preserve">4</w:t>
      </w:r>
      <w:r>
        <w:rPr>
          <w:rFonts w:ascii="Arial" w:cs="Arial" w:eastAsia="Arial" w:hAnsi="Arial"/>
          <w:sz w:val="24"/>
          <w:szCs w:val="24"/>
        </w:rPr>
        <w:t xml:space="preserve"> и N</w:t>
      </w:r>
      <w:r>
        <w:rPr>
          <w:rFonts w:ascii="Arial" w:cs="Arial" w:eastAsia="Arial" w:hAnsi="Arial"/>
          <w:sz w:val="24"/>
          <w:szCs w:val="24"/>
        </w:rPr>
        <w:t xml:space="preserve">2</w:t>
      </w:r>
      <w:r>
        <w:rPr>
          <w:rFonts w:ascii="Arial" w:cs="Arial" w:eastAsia="Arial" w:hAnsi="Arial"/>
          <w:sz w:val="24"/>
          <w:szCs w:val="24"/>
        </w:rPr>
        <w:t xml:space="preserve">O;</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ЦУР</w:t>
      </w:r>
      <w:r>
        <w:rPr>
          <w:rFonts w:ascii="Arial" w:cs="Arial" w:eastAsia="Arial" w:hAnsi="Arial"/>
          <w:sz w:val="24"/>
          <w:szCs w:val="24"/>
        </w:rPr>
        <w:t xml:space="preserve"> - Цели устойчивого развития Организации Объединенных Наций в определении Организации Объединенных Наций;</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принцип "предотвращения вреда"</w:t>
      </w:r>
      <w:r>
        <w:rPr>
          <w:rFonts w:ascii="Arial" w:cs="Arial" w:eastAsia="Arial" w:hAnsi="Arial"/>
          <w:sz w:val="24"/>
          <w:szCs w:val="24"/>
        </w:rPr>
        <w:t xml:space="preserve"> - международно-признанный принцип в зеленом финансировании, который обязывает избегать побочное негативное влияние на окружающую среду и общество в процессе интервенций, направленных на борьбу с изменением климата или адаптацию к изменению климата;</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экологические и социальные риски</w:t>
      </w:r>
      <w:r>
        <w:rPr>
          <w:rFonts w:ascii="Arial" w:cs="Arial" w:eastAsia="Arial" w:hAnsi="Arial"/>
          <w:sz w:val="24"/>
          <w:szCs w:val="24"/>
        </w:rPr>
        <w:t xml:space="preserve"> - риски, связанные с экономической деятельностью, реализация которых может создавать ущерб окружающей среде, здоровью населения и нарушать принцип предотвращения вреда;</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ГКЭД</w:t>
      </w:r>
      <w:r>
        <w:rPr>
          <w:rFonts w:ascii="Arial" w:cs="Arial" w:eastAsia="Arial" w:hAnsi="Arial"/>
          <w:sz w:val="24"/>
          <w:szCs w:val="24"/>
        </w:rPr>
        <w:t xml:space="preserve"> - Государственный классификатор видов экономической деятельности Кыргызской Республики;</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ГСКП</w:t>
      </w:r>
      <w:r>
        <w:rPr>
          <w:rFonts w:ascii="Arial" w:cs="Arial" w:eastAsia="Arial" w:hAnsi="Arial"/>
          <w:sz w:val="24"/>
          <w:szCs w:val="24"/>
        </w:rPr>
        <w:t xml:space="preserve"> - Государственный статистический классификатор продукции (товаров и услуг).</w:t>
      </w:r>
    </w:p>
    <w:p>
      <w:pPr>
        <w:spacing w:after="120"/>
        <w:jc w:val="center"/>
      </w:pPr>
      <w:r>
        <w:rPr>
          <w:rFonts w:ascii="Arial" w:cs="Arial" w:eastAsia="Arial" w:hAnsi="Arial"/>
          <w:b/>
          <w:bCs/>
          <w:sz w:val="24"/>
          <w:szCs w:val="24"/>
        </w:rPr>
        <w:t xml:space="preserve">Глава 2. Национальный контекст документа</w:t>
      </w:r>
    </w:p>
    <w:p>
      <w:pPr>
        <w:spacing w:after="120"/>
        <w:ind w:firstLine="567"/>
        <w:jc w:val="both"/>
      </w:pPr>
      <w:r>
        <w:rPr>
          <w:rFonts w:ascii="Arial" w:cs="Arial" w:eastAsia="Arial" w:hAnsi="Arial"/>
          <w:sz w:val="24"/>
          <w:szCs w:val="24"/>
        </w:rPr>
        <w:t xml:space="preserve">6. Таксономия является основополагающим документом для реализации политики Кабинета Министров Кыргызской Республики с целью достижения углеродной нейтральности к 2050 году, а также реализации решений Кабинета Министров Кыргызской Республики, Налогового </w:t>
      </w:r>
      <w:hyperlink w:history="1" r:id="rIdxggnpoqmk2hvbm18qtko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7. Таксономия составлялась с учетом следующих нормативных правовых актов Кыргызской Республики и международных договоров:</w:t>
      </w:r>
    </w:p>
    <w:p>
      <w:pPr>
        <w:spacing w:after="120"/>
        <w:ind w:firstLine="567"/>
        <w:jc w:val="both"/>
      </w:pPr>
      <w:r>
        <w:rPr>
          <w:rFonts w:ascii="Arial" w:cs="Arial" w:eastAsia="Arial" w:hAnsi="Arial"/>
          <w:sz w:val="24"/>
          <w:szCs w:val="24"/>
        </w:rPr>
        <w:t xml:space="preserve">- Налоговый </w:t>
      </w:r>
      <w:hyperlink w:history="1" r:id="rIdfkoxeuv1v37evdf1vwl-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 Гражданский </w:t>
      </w:r>
      <w:hyperlink w:history="1" r:id="rIdqqcr_jm3jkbecfv_aruv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 Водный </w:t>
      </w:r>
      <w:hyperlink w:history="1" r:id="rIdqcabmrxlvm2ladhtwgs2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 </w:t>
      </w:r>
      <w:hyperlink w:history="1" r:id="rIdckqb76o-pzz2wwgdhhpwq">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ind w:firstLine="567"/>
        <w:jc w:val="both"/>
      </w:pPr>
      <w:r>
        <w:rPr>
          <w:rFonts w:ascii="Arial" w:cs="Arial" w:eastAsia="Arial" w:hAnsi="Arial"/>
          <w:sz w:val="24"/>
          <w:szCs w:val="24"/>
        </w:rPr>
        <w:t xml:space="preserve">- </w:t>
      </w:r>
      <w:hyperlink w:history="1" r:id="rIdztk3qelzpuh1klfxtuk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w:t>
      </w:r>
    </w:p>
    <w:p>
      <w:pPr>
        <w:spacing w:after="120"/>
        <w:ind w:firstLine="567"/>
        <w:jc w:val="both"/>
      </w:pPr>
      <w:r>
        <w:rPr>
          <w:rFonts w:ascii="Arial" w:cs="Arial" w:eastAsia="Arial" w:hAnsi="Arial"/>
          <w:sz w:val="24"/>
          <w:szCs w:val="24"/>
        </w:rPr>
        <w:t xml:space="preserve">- </w:t>
      </w:r>
      <w:hyperlink w:history="1" r:id="rIdilbcuj3nlwamz3r8czmz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w:t>
      </w:r>
    </w:p>
    <w:p>
      <w:pPr>
        <w:spacing w:after="120"/>
        <w:ind w:firstLine="567"/>
        <w:jc w:val="both"/>
      </w:pPr>
      <w:r>
        <w:rPr>
          <w:rFonts w:ascii="Arial" w:cs="Arial" w:eastAsia="Arial" w:hAnsi="Arial"/>
          <w:sz w:val="24"/>
          <w:szCs w:val="24"/>
        </w:rPr>
        <w:t xml:space="preserve">- </w:t>
      </w:r>
      <w:hyperlink w:history="1" r:id="rIdoessh0ntymgbxud8fr8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w:t>
      </w:r>
    </w:p>
    <w:p>
      <w:pPr>
        <w:spacing w:after="120"/>
        <w:ind w:firstLine="567"/>
        <w:jc w:val="both"/>
      </w:pPr>
      <w:r>
        <w:rPr>
          <w:rFonts w:ascii="Arial" w:cs="Arial" w:eastAsia="Arial" w:hAnsi="Arial"/>
          <w:sz w:val="24"/>
          <w:szCs w:val="24"/>
        </w:rPr>
        <w:t xml:space="preserve">- </w:t>
      </w:r>
      <w:hyperlink w:history="1" r:id="rIdoo-0znt2aq-bhzbzdghp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энергосбережении";</w:t>
      </w:r>
    </w:p>
    <w:p>
      <w:pPr>
        <w:spacing w:after="120"/>
        <w:ind w:firstLine="567"/>
        <w:jc w:val="both"/>
      </w:pPr>
      <w:r>
        <w:rPr>
          <w:rFonts w:ascii="Arial" w:cs="Arial" w:eastAsia="Arial" w:hAnsi="Arial"/>
          <w:sz w:val="24"/>
          <w:szCs w:val="24"/>
        </w:rPr>
        <w:t xml:space="preserve">- </w:t>
      </w:r>
      <w:hyperlink w:history="1" r:id="rIdpl7zf0lzgip-ps4rdz4x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w:t>
      </w:r>
    </w:p>
    <w:p>
      <w:pPr>
        <w:spacing w:after="120"/>
        <w:ind w:firstLine="567"/>
        <w:jc w:val="both"/>
      </w:pPr>
      <w:r>
        <w:rPr>
          <w:rFonts w:ascii="Arial" w:cs="Arial" w:eastAsia="Arial" w:hAnsi="Arial"/>
          <w:sz w:val="24"/>
          <w:szCs w:val="24"/>
        </w:rPr>
        <w:t xml:space="preserve">- </w:t>
      </w:r>
      <w:hyperlink w:history="1" r:id="rIddknmnbha1rob0uri1kt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предпринимателей";</w:t>
      </w:r>
    </w:p>
    <w:p>
      <w:pPr>
        <w:spacing w:after="120"/>
        <w:ind w:firstLine="567"/>
        <w:jc w:val="both"/>
      </w:pPr>
      <w:r>
        <w:rPr>
          <w:rFonts w:ascii="Arial" w:cs="Arial" w:eastAsia="Arial" w:hAnsi="Arial"/>
          <w:sz w:val="24"/>
          <w:szCs w:val="24"/>
        </w:rPr>
        <w:t xml:space="preserve">- </w:t>
      </w:r>
      <w:hyperlink w:history="1" r:id="rId-spwwt68c1biejqn-4of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w:t>
      </w:r>
    </w:p>
    <w:p>
      <w:pPr>
        <w:spacing w:after="120"/>
        <w:ind w:firstLine="567"/>
        <w:jc w:val="both"/>
      </w:pPr>
      <w:r>
        <w:rPr>
          <w:rFonts w:ascii="Arial" w:cs="Arial" w:eastAsia="Arial" w:hAnsi="Arial"/>
          <w:sz w:val="24"/>
          <w:szCs w:val="24"/>
        </w:rPr>
        <w:t xml:space="preserve">- </w:t>
      </w:r>
      <w:hyperlink w:history="1" r:id="rIdhswdemz8eeps6_o6w8o3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и политике в области эмиссии и поглощения парниковых газов";</w:t>
      </w:r>
    </w:p>
    <w:p>
      <w:pPr>
        <w:spacing w:after="120"/>
        <w:ind w:firstLine="567"/>
        <w:jc w:val="both"/>
      </w:pPr>
      <w:r>
        <w:rPr>
          <w:rFonts w:ascii="Arial" w:cs="Arial" w:eastAsia="Arial" w:hAnsi="Arial"/>
          <w:sz w:val="24"/>
          <w:szCs w:val="24"/>
        </w:rPr>
        <w:t xml:space="preserve">- </w:t>
      </w:r>
      <w:hyperlink w:history="1" r:id="rIdsyx3ed1_ofzxya4fmbof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w:t>
      </w:r>
    </w:p>
    <w:p>
      <w:pPr>
        <w:spacing w:after="120"/>
        <w:ind w:firstLine="567"/>
        <w:jc w:val="both"/>
      </w:pPr>
      <w:r>
        <w:rPr>
          <w:rFonts w:ascii="Arial" w:cs="Arial" w:eastAsia="Arial" w:hAnsi="Arial"/>
          <w:sz w:val="24"/>
          <w:szCs w:val="24"/>
        </w:rPr>
        <w:t xml:space="preserve">- </w:t>
      </w:r>
      <w:hyperlink w:history="1" r:id="rId41rqbgl0mwxfkk3q58ux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атмосферного воздуха";</w:t>
      </w:r>
    </w:p>
    <w:p>
      <w:pPr>
        <w:spacing w:after="120"/>
        <w:ind w:firstLine="567"/>
        <w:jc w:val="both"/>
      </w:pPr>
      <w:r>
        <w:rPr>
          <w:rFonts w:ascii="Arial" w:cs="Arial" w:eastAsia="Arial" w:hAnsi="Arial"/>
          <w:sz w:val="24"/>
          <w:szCs w:val="24"/>
        </w:rPr>
        <w:t xml:space="preserve">- </w:t>
      </w:r>
      <w:hyperlink w:history="1" r:id="rIdb2e8fd8rnyzeko5pqz9y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w:t>
      </w:r>
    </w:p>
    <w:p>
      <w:pPr>
        <w:spacing w:after="120"/>
        <w:ind w:firstLine="567"/>
        <w:jc w:val="both"/>
      </w:pPr>
      <w:r>
        <w:rPr>
          <w:rFonts w:ascii="Arial" w:cs="Arial" w:eastAsia="Arial" w:hAnsi="Arial"/>
          <w:sz w:val="24"/>
          <w:szCs w:val="24"/>
        </w:rPr>
        <w:t xml:space="preserve">- </w:t>
      </w:r>
      <w:hyperlink w:history="1" r:id="rIdqv9rlgqta1gasyr516i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120"/>
        <w:ind w:firstLine="567"/>
        <w:jc w:val="both"/>
      </w:pPr>
      <w:r>
        <w:rPr>
          <w:rFonts w:ascii="Arial" w:cs="Arial" w:eastAsia="Arial" w:hAnsi="Arial"/>
          <w:sz w:val="24"/>
          <w:szCs w:val="24"/>
        </w:rPr>
        <w:t xml:space="preserve">- </w:t>
      </w:r>
      <w:hyperlink w:history="1" r:id="rId6sbkwrj_3_x-y5ivs8c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Кыргызской Республики "Виды экономической деятельности" от 11 января 2011 года № 9;</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установлении приоритетных видов деятельности (секторов экономики) инвестиционных проектов" от 28 октября 2018 года № 503;</w:t>
      </w:r>
    </w:p>
    <w:p>
      <w:pPr>
        <w:spacing w:after="120"/>
        <w:ind w:firstLine="567"/>
        <w:jc w:val="both"/>
      </w:pPr>
      <w:r>
        <w:rPr>
          <w:rFonts w:ascii="Arial" w:cs="Arial" w:eastAsia="Arial" w:hAnsi="Arial"/>
          <w:sz w:val="24"/>
          <w:szCs w:val="24"/>
        </w:rPr>
        <w:t xml:space="preserve">- Государственный статистический классификатор продукции (товаров и услуг) ГК 017-2015, версия 3 и других действующих нормативных правовых актов Кыргызской Республики.</w:t>
      </w:r>
    </w:p>
    <w:p>
      <w:pPr>
        <w:spacing w:after="120"/>
        <w:jc w:val="center"/>
      </w:pPr>
      <w:r>
        <w:rPr>
          <w:rFonts w:ascii="Arial" w:cs="Arial" w:eastAsia="Arial" w:hAnsi="Arial"/>
          <w:b/>
          <w:bCs/>
          <w:sz w:val="24"/>
          <w:szCs w:val="24"/>
        </w:rPr>
        <w:t xml:space="preserve">Глава 3. Международный контекст документа</w:t>
      </w:r>
    </w:p>
    <w:p>
      <w:pPr>
        <w:spacing w:after="120"/>
        <w:ind w:firstLine="567"/>
        <w:jc w:val="both"/>
      </w:pPr>
      <w:r>
        <w:rPr>
          <w:rFonts w:ascii="Arial" w:cs="Arial" w:eastAsia="Arial" w:hAnsi="Arial"/>
          <w:sz w:val="24"/>
          <w:szCs w:val="24"/>
        </w:rPr>
        <w:t xml:space="preserve">8. Одной из основных функций Таксономии является создание благоприятной среды для привлечения международных инвестиций. Принципы и классификации Таксономии разрабатывались с учетом международной практики в сфере устойчивого финансирования, поскольку в Таксономии присутствуют очень четкие критерии соответствия, что снижает риски неопределенности и позволяет снизить стоимость администрирования или автоматизировать этот процесс.</w:t>
      </w:r>
    </w:p>
    <w:p>
      <w:pPr>
        <w:spacing w:after="120"/>
        <w:ind w:firstLine="567"/>
        <w:jc w:val="both"/>
      </w:pPr>
      <w:r>
        <w:rPr>
          <w:rFonts w:ascii="Arial" w:cs="Arial" w:eastAsia="Arial" w:hAnsi="Arial"/>
          <w:sz w:val="24"/>
          <w:szCs w:val="24"/>
        </w:rPr>
        <w:t xml:space="preserve">9. Основные категории Таксономии соответствуют международным таксономиям и практикам:</w:t>
      </w:r>
    </w:p>
    <w:p>
      <w:pPr>
        <w:spacing w:after="120"/>
        <w:ind w:firstLine="567"/>
        <w:jc w:val="both"/>
      </w:pPr>
      <w:r>
        <w:rPr>
          <w:rFonts w:ascii="Arial" w:cs="Arial" w:eastAsia="Arial" w:hAnsi="Arial"/>
          <w:sz w:val="24"/>
          <w:szCs w:val="24"/>
        </w:rPr>
        <w:t xml:space="preserve">- Принципы соответствия зеленых облигаций Международной ассоциации рынков капитала (International Capital Markets Association's Green Bond Principles, GBP) (https://www.icmagroup.org/sustainable-finance/the-principles-guidelines-and-handbooks/green-bond-principles-gbp);</w:t>
      </w:r>
    </w:p>
    <w:p>
      <w:pPr>
        <w:spacing w:after="120"/>
        <w:ind w:firstLine="567"/>
        <w:jc w:val="both"/>
      </w:pPr>
      <w:r>
        <w:rPr>
          <w:rFonts w:ascii="Arial" w:cs="Arial" w:eastAsia="Arial" w:hAnsi="Arial"/>
          <w:sz w:val="24"/>
          <w:szCs w:val="24"/>
        </w:rPr>
        <w:t xml:space="preserve">- Принципы соответствия зеленых кредитов Ассоциации рынков кредитов, основанные на Принципах соответствия зеленых облигаций (https://www.lsta.org/content/green-loan-principles);</w:t>
      </w:r>
    </w:p>
    <w:p>
      <w:pPr>
        <w:spacing w:after="120"/>
        <w:ind w:firstLine="567"/>
        <w:jc w:val="both"/>
      </w:pPr>
      <w:r>
        <w:rPr>
          <w:rFonts w:ascii="Arial" w:cs="Arial" w:eastAsia="Arial" w:hAnsi="Arial"/>
          <w:sz w:val="24"/>
          <w:szCs w:val="24"/>
        </w:rPr>
        <w:t xml:space="preserve">- Таксономия зеленых облигаций, разработанная Инициативой по зеленым облигациям (Climate Bond Taxonomy developed by Climate Bonds Initiative, CBI) (https://www.climatebonds.net/standard/taxonomy);</w:t>
      </w:r>
    </w:p>
    <w:p>
      <w:pPr>
        <w:spacing w:after="120"/>
        <w:ind w:firstLine="567"/>
        <w:jc w:val="both"/>
      </w:pPr>
      <w:r>
        <w:rPr>
          <w:rFonts w:ascii="Arial" w:cs="Arial" w:eastAsia="Arial" w:hAnsi="Arial"/>
          <w:sz w:val="24"/>
          <w:szCs w:val="24"/>
        </w:rPr>
        <w:t xml:space="preserve">- Климатические маркеры Международной помощи ОЭСР (OECD DAC Rio Markers for Climate) (https://www.oecd.org/dac/environment-evelopment/Revised%20climate20marker%20handbook_FINAL.pdf);</w:t>
      </w:r>
    </w:p>
    <w:p>
      <w:pPr>
        <w:spacing w:after="120"/>
        <w:ind w:firstLine="567"/>
        <w:jc w:val="both"/>
      </w:pPr>
      <w:r>
        <w:rPr>
          <w:rFonts w:ascii="Arial" w:cs="Arial" w:eastAsia="Arial" w:hAnsi="Arial"/>
          <w:sz w:val="24"/>
          <w:szCs w:val="24"/>
        </w:rPr>
        <w:t xml:space="preserve">- общие правила учета финансирования в контексте сокращения выбросов парниковых газов, согласованных группой Международных банков развития (Multilateral Development Bank's Common Principles for Climate Mitigation Finance Tracking, MDB);</w:t>
      </w:r>
    </w:p>
    <w:p>
      <w:pPr>
        <w:spacing w:after="120"/>
        <w:ind w:firstLine="567"/>
        <w:jc w:val="both"/>
      </w:pPr>
      <w:r>
        <w:rPr>
          <w:rFonts w:ascii="Arial" w:cs="Arial" w:eastAsia="Arial" w:hAnsi="Arial"/>
          <w:sz w:val="24"/>
          <w:szCs w:val="24"/>
        </w:rPr>
        <w:t xml:space="preserve">- Таксономия Европейского союза по устойчивой деятельности (EU) (https://ec.europa.eu/sustainable-finance-taxonomy/taxonomy-com pass).</w:t>
      </w:r>
    </w:p>
    <w:p>
      <w:pPr>
        <w:spacing w:after="120"/>
        <w:ind w:firstLine="567"/>
        <w:jc w:val="both"/>
      </w:pPr>
      <w:r>
        <w:rPr>
          <w:rFonts w:ascii="Arial" w:cs="Arial" w:eastAsia="Arial" w:hAnsi="Arial"/>
          <w:sz w:val="24"/>
          <w:szCs w:val="24"/>
        </w:rPr>
        <w:t xml:space="preserve">10. При разработке критериев соответствия учтены международная техническая нормативная правовая база, включая распространенные международные стандарты, которые могут применяться для цепочек поставок в Кыргызскую Республику.</w:t>
      </w:r>
    </w:p>
    <w:p>
      <w:pPr>
        <w:spacing w:after="120"/>
        <w:ind w:firstLine="567"/>
        <w:jc w:val="both"/>
      </w:pPr>
      <w:r>
        <w:rPr>
          <w:rFonts w:ascii="Arial" w:cs="Arial" w:eastAsia="Arial" w:hAnsi="Arial"/>
          <w:sz w:val="24"/>
          <w:szCs w:val="24"/>
        </w:rPr>
        <w:t xml:space="preserve">11. Для справок предоставлены аналоги ТН ВЭД Стандартной номенклатуры Европейского союза (CN EU) и коды экономической деятельности (NACE 2.1).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1. Соответствие основных категорий Таксономии другим международным таксономиям и ЦУР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
        <w:gridCol w:w="2994"/>
        <w:gridCol w:w="4688"/>
        <w:gridCol w:w="393"/>
        <w:gridCol w:w="336"/>
        <w:gridCol w:w="409"/>
        <w:gridCol w:w="294"/>
        <w:gridCol w:w="804"/>
      </w:tblGrid>
      <w:tr>
        <w:tc>
          <w:tcPr>
            <w:tcW w:type="dxa" w:w="2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4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Технология</w:t>
            </w:r>
          </w:p>
        </w:tc>
        <w:tc>
          <w:tcPr>
            <w:tcW w:type="dxa" w:w="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GBP</w:t>
            </w:r>
          </w:p>
        </w:tc>
        <w:tc>
          <w:tcPr>
            <w:tcW w:type="dxa" w:w="3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CBI</w:t>
            </w:r>
          </w:p>
        </w:tc>
        <w:tc>
          <w:tcPr>
            <w:tcW w:type="dxa" w:w="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MDB</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EU</w:t>
            </w:r>
          </w:p>
        </w:tc>
        <w:tc>
          <w:tcPr>
            <w:tcW w:type="dxa" w:w="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ЦУР</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Возобновляемая энергетика</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электроэнергии</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водород</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Частный транспорт</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инфраструктура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Микроэлектротранспорт, электромопеды и электромотоциклы</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Коммерческий транспорт</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транспорт</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общественного 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Энергоэффективность объектов недвижимости</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энергопотребления существующих зданий, квартир и конструкций</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Энергоэффективность в промышленности и сельском хозяйстве</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производственных процессов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Вторичное использование тепла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ТБО</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11, 12</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отходы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строительных отходов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и коммерческие отходы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Вторичная переработка металлов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отходы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подготовка и доставка питьевой воды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3, 6, 11</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воды для орошения</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 для орошения</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сточных вод</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6, 11, 14</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сельское хозяйство</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Беспахотный посев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деградированных земель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Тепличное хозяйство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аквапоники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Агровольтаика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выращивание и обработка хлопка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Селекционная деятельность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энергетической биомассы</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bl>
    <w:p>
      <w:pPr>
        <w:spacing w:after="120" w:before="120"/>
        <w:ind w:firstLine="567"/>
        <w:jc w:val="both"/>
      </w:pPr>
      <w:r>
        <w:rPr>
          <w:rFonts w:ascii="Arial" w:cs="Arial" w:eastAsia="Arial" w:hAnsi="Arial"/>
          <w:sz w:val="24"/>
          <w:szCs w:val="24"/>
        </w:rPr>
        <w:t xml:space="preserve">Принимая во внимание нахождение Кыргызской Республики в едином таможенном пространстве Евразийского экономического союза, в Таксономии используются следующие международные классификаторы:</w:t>
      </w:r>
    </w:p>
    <w:p>
      <w:pPr>
        <w:spacing w:after="120"/>
        <w:ind w:firstLine="567"/>
        <w:jc w:val="both"/>
      </w:pPr>
      <w:r>
        <w:rPr>
          <w:rFonts w:ascii="Arial" w:cs="Arial" w:eastAsia="Arial" w:hAnsi="Arial"/>
          <w:sz w:val="24"/>
          <w:szCs w:val="24"/>
        </w:rPr>
        <w:t xml:space="preserve">- классификация товаров в соответствии с единой Товарной номенклатурой внешнеэкономической деятельности Евразийского экономического союза (https://eec.eaeunion.org/comission/department/dep_tamoj_zak/klassifikatsiya-tovarov-v-sootvetstvii-s-tn-ved-eaes);</w:t>
      </w:r>
    </w:p>
    <w:p>
      <w:pPr>
        <w:spacing w:after="120"/>
        <w:ind w:firstLine="567"/>
        <w:jc w:val="both"/>
      </w:pPr>
      <w:r>
        <w:rPr>
          <w:rFonts w:ascii="Arial" w:cs="Arial" w:eastAsia="Arial" w:hAnsi="Arial"/>
          <w:sz w:val="24"/>
          <w:szCs w:val="24"/>
        </w:rPr>
        <w:t xml:space="preserve">- классификатор товаров в соответствии с единой Товарной номенклатурой внешнеэкономической деятельности (далее - ТН ВЭД) Евразийского экономического союза (https://eec.eaeunion.org/comission/department/catr/ett).</w:t>
      </w:r>
    </w:p>
    <w:p>
      <w:pPr>
        <w:spacing w:after="120"/>
        <w:jc w:val="center"/>
      </w:pPr>
      <w:r>
        <w:rPr>
          <w:rFonts w:ascii="Arial" w:cs="Arial" w:eastAsia="Arial" w:hAnsi="Arial"/>
          <w:b/>
          <w:bCs/>
          <w:sz w:val="24"/>
          <w:szCs w:val="24"/>
        </w:rPr>
        <w:t xml:space="preserve">Глава 4. Пользователи</w:t>
      </w:r>
    </w:p>
    <w:p>
      <w:pPr>
        <w:spacing w:after="120"/>
        <w:ind w:firstLine="567"/>
        <w:jc w:val="both"/>
      </w:pPr>
      <w:r>
        <w:rPr>
          <w:rFonts w:ascii="Arial" w:cs="Arial" w:eastAsia="Arial" w:hAnsi="Arial"/>
          <w:sz w:val="24"/>
          <w:szCs w:val="24"/>
        </w:rPr>
        <w:t xml:space="preserve">12. Физические лица (резиденты и нерезиденты) могут руководствоваться справочными таблицами </w:t>
      </w:r>
      <w:hyperlink w:history="1" r:id="rIdbwwxcj1rqzrimdgg8ddbf">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принятия решений о своих инвестициях в улучшение качества жизни в Кыргызской Республике, а также для реализации своих прав на получение фискальных преференций, которые регламентируются Налоговым </w:t>
      </w:r>
      <w:hyperlink w:history="1" r:id="rIdrxt1ylj6bnzr4ntjoyj5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13. Юридические лица (резиденты и нерезиденты) могут руководствоваться справочными таблицами (</w:t>
      </w:r>
      <w:hyperlink w:history="1" r:id="rId6aeg40zyd_eb0nx82x08x">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принятия решений о своих инвестициях и выборе видов деятельности, которые совместимы со стратегическими целями Кыргызской Республики, а также для реализации своих прав на получение фискальных преференций, которые регламентируются/определяются Налоговым </w:t>
      </w:r>
      <w:hyperlink w:history="1" r:id="rIdv8olend0llzlw5ecrnfg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14. Банки, небанковские и специализированные финансово-кредитные организации должны руководствоваться справочными таблицами (</w:t>
      </w:r>
      <w:hyperlink w:history="1" r:id="rIdbzqbt1vgjbigmtvtj0tmq">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при разработке и реализации продуктов зеленого финансирования. Использование критериев Таксономии при внедрении продуктов зеленого финансирования позволит сократить операционные издержки за счет упрощения процессов идентификации соответствия.</w:t>
      </w:r>
    </w:p>
    <w:p>
      <w:pPr>
        <w:spacing w:after="120"/>
        <w:ind w:firstLine="567"/>
        <w:jc w:val="both"/>
      </w:pPr>
      <w:r>
        <w:rPr>
          <w:rFonts w:ascii="Arial" w:cs="Arial" w:eastAsia="Arial" w:hAnsi="Arial"/>
          <w:sz w:val="24"/>
          <w:szCs w:val="24"/>
        </w:rPr>
        <w:t xml:space="preserve">15. Государственные органы управления Кыргызской Республики должны руководствоваться справочными таблицами (</w:t>
      </w:r>
      <w:hyperlink w:history="1" r:id="rId0rqh2gy72lpfbzw99e3it">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реализации требований действующего законодательства Кыргызской Республики.</w:t>
      </w:r>
    </w:p>
    <w:p>
      <w:pPr>
        <w:spacing w:after="120"/>
        <w:ind w:firstLine="567"/>
        <w:jc w:val="both"/>
      </w:pPr>
      <w:r>
        <w:rPr>
          <w:rFonts w:ascii="Arial" w:cs="Arial" w:eastAsia="Arial" w:hAnsi="Arial"/>
          <w:sz w:val="24"/>
          <w:szCs w:val="24"/>
        </w:rPr>
        <w:t xml:space="preserve">16. Органы местного самоуправления Кыргызской Республики должны руководствоваться справочными таблицами (</w:t>
      </w:r>
      <w:hyperlink w:history="1" r:id="rId2zhwaw-_r3tj8kweeaqck">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согласования своей деятельности со стратегическими приоритетами Кыргызской Республики.</w:t>
      </w:r>
    </w:p>
    <w:p>
      <w:pPr>
        <w:spacing w:after="120"/>
        <w:jc w:val="center"/>
      </w:pPr>
      <w:r>
        <w:rPr>
          <w:rFonts w:ascii="Arial" w:cs="Arial" w:eastAsia="Arial" w:hAnsi="Arial"/>
          <w:b/>
          <w:bCs/>
          <w:sz w:val="24"/>
          <w:szCs w:val="24"/>
        </w:rPr>
        <w:t xml:space="preserve">Глава 5. Принципы применимости Таксономии с таксономиями других стран и организаций</w:t>
      </w:r>
    </w:p>
    <w:p>
      <w:pPr>
        <w:spacing w:after="120"/>
        <w:ind w:firstLine="567"/>
        <w:jc w:val="both"/>
      </w:pPr>
      <w:r>
        <w:rPr>
          <w:rFonts w:ascii="Arial" w:cs="Arial" w:eastAsia="Arial" w:hAnsi="Arial"/>
          <w:sz w:val="24"/>
          <w:szCs w:val="24"/>
        </w:rPr>
        <w:t xml:space="preserve">17. Организациям и инвесторам, ведущим экономическую деятельность на территории Кыргызской Республики, которым необходимо отчитываться согласно таксономии, действующей в юрисдикции по месту регистрации их материнской организации, необходимо использовать следующие правила для обеспечения применяемости Таксономии с таксономиями отчетности материнской организации(1):</w:t>
      </w:r>
    </w:p>
    <w:p>
      <w:pPr>
        <w:spacing w:after="120"/>
        <w:ind w:firstLine="567"/>
        <w:jc w:val="both"/>
      </w:pPr>
      <w:r>
        <w:rPr>
          <w:rFonts w:ascii="Arial" w:cs="Arial" w:eastAsia="Arial" w:hAnsi="Arial"/>
          <w:sz w:val="24"/>
          <w:szCs w:val="24"/>
        </w:rPr>
        <w:t xml:space="preserve">1) в контексте деятельности на территории Кыргызской Республики запрещается применение терминов "зеленый", "климатический" и "низкоуглеродный" для любых видов деятельности и продукции, критерии которых отличаются от требований, указанных в Таксономии. Требование распространяется на деятельность, которая инициирована после вступления в силу требований Таксономии и только на те категории товаров и экономической деятельности, которые указаны в Таксономии. Применение запрета на использование термина "зеленый" не распространяется на товары, фактический цвет которых тонально близок к зеленому цвету в понимании здорового человека;</w:t>
      </w:r>
    </w:p>
    <w:p>
      <w:pPr>
        <w:spacing w:after="120"/>
        <w:ind w:firstLine="567"/>
        <w:jc w:val="both"/>
      </w:pPr>
      <w:r>
        <w:rPr>
          <w:rFonts w:ascii="Arial" w:cs="Arial" w:eastAsia="Arial" w:hAnsi="Arial"/>
          <w:sz w:val="24"/>
          <w:szCs w:val="24"/>
        </w:rPr>
        <w:t xml:space="preserve">2) для внутренней отчетности и/или по требованию кредитора (инвестора) банки и небанковские и специализированные финансово-кредитные организации могут использовать собственную таксономию или таксономии других стран или организаций, категории, отсутствующие в Таксономии, которые могут быть применены с использованием иных таксономий, где присутствуют необходимые категории. При этом запрещается публикация и распространение информации о "зеленом", "климатическом", "низкоуглеродном" портфеле, сформированном на территории Кыргызской Республики, если портфель не соответствует требованиям и критериям уже существующим в Таксономии;</w:t>
      </w:r>
    </w:p>
    <w:p>
      <w:pPr>
        <w:spacing w:after="120"/>
        <w:ind w:firstLine="567"/>
        <w:jc w:val="both"/>
      </w:pPr>
      <w:r>
        <w:rPr>
          <w:rFonts w:ascii="Arial" w:cs="Arial" w:eastAsia="Arial" w:hAnsi="Arial"/>
          <w:sz w:val="24"/>
          <w:szCs w:val="24"/>
        </w:rPr>
        <w:t xml:space="preserve">3) если продукция относится к технологии или функциональной группе Таксономии и находит аналог в другой таксономии, и при этом в другой таксономии применяются более строгие критерии соответствия, необходимо использовать более строгие критерии соответствия из другой таксономии;</w:t>
      </w:r>
    </w:p>
    <w:p>
      <w:pPr>
        <w:spacing w:after="120"/>
        <w:ind w:firstLine="567"/>
        <w:jc w:val="both"/>
      </w:pPr>
      <w:r>
        <w:rPr>
          <w:rFonts w:ascii="Arial" w:cs="Arial" w:eastAsia="Arial" w:hAnsi="Arial"/>
          <w:sz w:val="24"/>
          <w:szCs w:val="24"/>
        </w:rPr>
        <w:t xml:space="preserve">4) категории, отсутствующие в Таксономии, могут быть применены с использованием иных таксономий, где необходимые категории присутствуют. При этом запрещается выбирать подходящие категории из разных таксономий, если отсутствуют общие требования для их целостного применения;</w:t>
      </w:r>
    </w:p>
    <w:p>
      <w:pPr>
        <w:spacing w:after="120"/>
        <w:ind w:firstLine="567"/>
        <w:jc w:val="both"/>
      </w:pPr>
      <w:r>
        <w:rPr>
          <w:rFonts w:ascii="Arial" w:cs="Arial" w:eastAsia="Arial" w:hAnsi="Arial"/>
          <w:sz w:val="24"/>
          <w:szCs w:val="24"/>
        </w:rPr>
        <w:t xml:space="preserve">5) запрещается применение технологии или функциональной группы из аналогичной категории иной таксономии, если технология или функциональная группа отсутствует в действующих категориях Таксономии.</w:t>
      </w:r>
    </w:p>
    <w:p>
      <w:pPr>
        <w:spacing w:after="120"/>
        <w:ind w:firstLine="567"/>
        <w:jc w:val="both"/>
      </w:pPr>
      <w:r>
        <w:rPr>
          <w:rFonts w:ascii="Arial" w:cs="Arial" w:eastAsia="Arial" w:hAnsi="Arial"/>
          <w:sz w:val="24"/>
          <w:szCs w:val="24"/>
        </w:rPr>
        <w:t xml:space="preserve">18. В период действия пилотного режима Таксономии для финансирования, которое проходит через ОАО "Государственный банк развития Кыргызской Республики" (в том числе через финансово-кредитные организации), распространение термина "зеленый", "климатический" и "низкоуглеродный" возможно к применению, если финансирование соответствует внутренней таксономии ОАО "Государственный банк развития Кыргызской Республики", но только в тех случаях, если это напрямую не противоречит Таксономии. В случае возникновения противоречий уполномоченный государственный орган Кыргызской Республики в сфере зеленой экономики имеет право принимать финальное решение о соответствии термину "зеленый", "климатический" и "низкоуглеродный".</w:t>
      </w:r>
    </w:p>
    <w:p>
      <w:pPr>
        <w:spacing w:after="120"/>
        <w:ind w:firstLine="567"/>
        <w:jc w:val="both"/>
      </w:pPr>
      <w:r>
        <w:rPr>
          <w:rFonts w:ascii="Arial" w:cs="Arial" w:eastAsia="Arial" w:hAnsi="Arial"/>
          <w:sz w:val="24"/>
          <w:szCs w:val="24"/>
        </w:rPr>
        <w:t xml:space="preserve">19. При формировании мнения независимого оценщика оценщики должны учитывать вышеперечисленные требования.</w:t>
      </w:r>
    </w:p>
    <w:p>
      <w:pPr>
        <w:spacing w:after="120"/>
        <w:jc w:val="center"/>
      </w:pPr>
      <w:r>
        <w:rPr>
          <w:rFonts w:ascii="Arial" w:cs="Arial" w:eastAsia="Arial" w:hAnsi="Arial"/>
          <w:b/>
          <w:bCs/>
          <w:sz w:val="24"/>
          <w:szCs w:val="24"/>
        </w:rPr>
        <w:t xml:space="preserve">Глава 6. Структура Таксономии</w:t>
      </w:r>
    </w:p>
    <w:p>
      <w:pPr>
        <w:spacing w:after="120"/>
        <w:ind w:firstLine="567"/>
        <w:jc w:val="both"/>
      </w:pPr>
      <w:r>
        <w:rPr>
          <w:rFonts w:ascii="Arial" w:cs="Arial" w:eastAsia="Arial" w:hAnsi="Arial"/>
          <w:sz w:val="24"/>
          <w:szCs w:val="24"/>
        </w:rPr>
        <w:t xml:space="preserve">20. Наименования категорий, технологий, функциональных групп и компонентов. В Таксономии используется научный и юридический подход к определению категорий, поэтому пользователю необходимо понять суть определения, вместо принятия во внимание форм написания(2). Рассмотрим следующий пример: в таблицах Таксономии употребляется определение "преобразование энергии солнца в электроэнергию на основе фоточувствительных полупроводников", что несет одинаковую смысловую нагрузку определению "солнечная установка", которое используется в Законе Кыргызской Республике "О возобновляемых источниках энергии" и имеет одинаковую смысловую нагрузку с терминами "солнечная генерация" или "photovoltaic solar", которые применяются в международной практике. Пользователи Таксономии должны учитывать смысловую нагрузку определений категорий, технологий и функциональных групп и компонентов в Таксономии. Необходимо избегать исключительную привязку к форме написания как определения соответствия или эквивалентности. В случае разногласия между сторонами, финальное решение о соответствии Таксономии выносится уполномоченным органом ответственным за разработку экономической политики и развитие зеленой экономики.</w:t>
      </w:r>
    </w:p>
    <w:p>
      <w:pPr>
        <w:spacing w:after="120"/>
        <w:ind w:firstLine="567"/>
        <w:jc w:val="both"/>
      </w:pPr>
      <w:r>
        <w:rPr>
          <w:rFonts w:ascii="Arial" w:cs="Arial" w:eastAsia="Arial" w:hAnsi="Arial"/>
          <w:sz w:val="24"/>
          <w:szCs w:val="24"/>
        </w:rPr>
        <w:t xml:space="preserve">21. Коды ГКЭД и NACE 2.1. Данные коды позволяют пользователям определить соответствие вида экономической деятельности критериям Таксономии или по принципу соответствия, или после удовлетворения дополнительных требований, в случае если код распространяется на более широкий спектр видов деятельности. Коды, которые охватывают только экономическую деятельность, соответствующую требованиям Таксономии, выделены жирным шрифтом.</w:t>
      </w:r>
    </w:p>
    <w:p>
      <w:pPr>
        <w:spacing w:after="120"/>
        <w:ind w:firstLine="567"/>
        <w:jc w:val="both"/>
      </w:pPr>
      <w:r>
        <w:rPr>
          <w:rFonts w:ascii="Arial" w:cs="Arial" w:eastAsia="Arial" w:hAnsi="Arial"/>
          <w:sz w:val="24"/>
          <w:szCs w:val="24"/>
        </w:rPr>
        <w:t xml:space="preserve">22. Коды ГСКП 3 (CPA 2.1) и ГКСП 4 (CPA 2.2). Данные коды детализируют кодирование экономической деятельности по ГКЭД и NACE для более четкого определения соответствия. Коды ГСКП 4 - рекомендации для создания новой редакции справочника на основе CPA 2.2, где будут уникальные коды только для деятельности, соответствующей Таксономии. Коды, которые охватывают экономическую деятельность, только соответствующую требованиям Таксономии, выделены жирным шрифтом.</w:t>
      </w:r>
    </w:p>
    <w:p>
      <w:pPr>
        <w:spacing w:after="120"/>
        <w:ind w:firstLine="567"/>
        <w:jc w:val="both"/>
      </w:pPr>
      <w:r>
        <w:rPr>
          <w:rFonts w:ascii="Arial" w:cs="Arial" w:eastAsia="Arial" w:hAnsi="Arial"/>
          <w:sz w:val="24"/>
          <w:szCs w:val="24"/>
        </w:rPr>
        <w:t xml:space="preserve">23. Коды ТН ВЭД и CN EU. Данные коды позволяют пользователям определить соответствие товаров и оборудования критериям Таксономии или по принципу соответствия, или после удовлетворения дополнительных требований, если код распространяется на более широкий спектр товаров (оборудования). Коды, которые распространяются только на товары, соответствующие Таксономии, выделены жирным шрифтом.</w:t>
      </w:r>
    </w:p>
    <w:p>
      <w:pPr>
        <w:spacing w:after="120"/>
        <w:ind w:firstLine="567"/>
        <w:jc w:val="both"/>
      </w:pPr>
      <w:r>
        <w:rPr>
          <w:rFonts w:ascii="Arial" w:cs="Arial" w:eastAsia="Arial" w:hAnsi="Arial"/>
          <w:sz w:val="24"/>
          <w:szCs w:val="24"/>
        </w:rPr>
        <w:t xml:space="preserve">24. Критерии и уточнения позволяют сфокусировать параметры соответствия. Для удовлетворения требованиям Таксономии деятельность/технологии или товары/оборудование должны четко соответствовать указанным нормам.</w:t>
      </w:r>
    </w:p>
    <w:p>
      <w:pPr>
        <w:spacing w:after="240" w:before="200"/>
        <w:jc w:val="center"/>
      </w:pPr>
      <w:r>
        <w:rPr>
          <w:rFonts w:ascii="Arial" w:cs="Arial" w:eastAsia="Arial" w:hAnsi="Arial"/>
          <w:b/>
          <w:bCs/>
          <w:sz w:val="32"/>
          <w:szCs w:val="32"/>
        </w:rPr>
        <w:t xml:space="preserve">Глава 7. Управление экологическими и социальными рисками</w:t>
      </w:r>
    </w:p>
    <w:p>
      <w:pPr>
        <w:spacing w:after="120"/>
        <w:ind w:firstLine="567"/>
        <w:jc w:val="both"/>
      </w:pPr>
      <w:r>
        <w:rPr>
          <w:rFonts w:ascii="Arial" w:cs="Arial" w:eastAsia="Arial" w:hAnsi="Arial"/>
          <w:sz w:val="24"/>
          <w:szCs w:val="24"/>
        </w:rPr>
        <w:t xml:space="preserve">25. Проекты и экономическая деятельность, которые соответствуют требованиям Таксономии, должны контролировать экологические и социальные риски. Риски в первую очередь контролируются разработчиками или финальными бенефициарами проекта и проверяются на соответствие организациями, предоставляющими финансирование для данного проекта, за исключением банков и небанковских финансовых организаций, деятельность которых регулируется Национальным банком Кыргызской Республики. Контроль над экологическими и социальными рисками как минимум означает соответствие всем действующим нормативным правовым актам Кыргызской Республики в области экологии, защиты природных ресурсов, промышленной безопасности и трудовых отношений для всей деятельности в соответствии с Таксономией. Это требование необходимо для удовлетворения принципа "предотвращения вреда". В дополнение все крупные проекты должны контролировать экологические и социальные риски в соответствии с требованиями регулирующего органа (в случае наличия), а в случае отсутствия руководствоваться международными стандартами. Понятие крупных проектов детализируется в колонке "параметры проекта" в </w:t>
      </w:r>
      <w:hyperlink w:history="1" r:id="rIdr0kefi4x_yozidtjcazii">
        <w:r>
          <w:rPr>
            <w:rFonts w:ascii="Arial" w:cs="Arial" w:eastAsia="Arial" w:hAnsi="Arial"/>
            <w:color w:val="1D4ED8"/>
            <w:sz w:val="24"/>
            <w:szCs w:val="24"/>
            <w:u w:val="single"/>
          </w:rPr>
          <w:t xml:space="preserve">главе 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Банки, небанковские и специализированные финансово-кредитные организации при осуществлении зеленой деятельности должны руководствоваться требованиями и рекомендациями Национального банка Кыргызской Республики по управлению экологическими и социальными рисками.</w:t>
      </w:r>
    </w:p>
    <w:p>
      <w:pPr>
        <w:spacing w:after="120"/>
        <w:jc w:val="center"/>
      </w:pPr>
      <w:r>
        <w:rPr>
          <w:rFonts w:ascii="Arial" w:cs="Arial" w:eastAsia="Arial" w:hAnsi="Arial"/>
          <w:b/>
          <w:bCs/>
          <w:sz w:val="24"/>
          <w:szCs w:val="24"/>
        </w:rPr>
        <w:t xml:space="preserve">Глава 8. Оценка соответствия</w:t>
      </w:r>
    </w:p>
    <w:p>
      <w:pPr>
        <w:spacing w:after="120"/>
        <w:ind w:firstLine="567"/>
        <w:jc w:val="both"/>
      </w:pPr>
      <w:r>
        <w:rPr>
          <w:rFonts w:ascii="Arial" w:cs="Arial" w:eastAsia="Arial" w:hAnsi="Arial"/>
          <w:sz w:val="24"/>
          <w:szCs w:val="24"/>
        </w:rPr>
        <w:t xml:space="preserve">26. Для соответствия Таксономии деятельность/технологии или оборудования/товары должны логически попадать в существующую категорию, технологию, функциональную группу и компонент и удовлетворять требования, указанные в критериях, уточнениях и параметрах проекта.</w:t>
      </w:r>
    </w:p>
    <w:p>
      <w:pPr>
        <w:spacing w:after="120"/>
        <w:ind w:firstLine="567"/>
        <w:jc w:val="both"/>
      </w:pPr>
      <w:r>
        <w:rPr>
          <w:rFonts w:ascii="Arial" w:cs="Arial" w:eastAsia="Arial" w:hAnsi="Arial"/>
          <w:sz w:val="24"/>
          <w:szCs w:val="24"/>
        </w:rPr>
        <w:t xml:space="preserve">27. Соответствие критериям присвоения кода ГКЭД, ГСКП или ТН ВЭД и требованиям, указанным в критериях, уточнениях и параметрах проекта достаточно для соответствия Таксономии.</w:t>
      </w:r>
    </w:p>
    <w:p>
      <w:pPr>
        <w:spacing w:after="120"/>
        <w:ind w:firstLine="567"/>
        <w:jc w:val="both"/>
      </w:pPr>
      <w:r>
        <w:rPr>
          <w:rFonts w:ascii="Arial" w:cs="Arial" w:eastAsia="Arial" w:hAnsi="Arial"/>
          <w:sz w:val="24"/>
          <w:szCs w:val="24"/>
        </w:rPr>
        <w:t xml:space="preserve">28. Для соответствия целям зеленого финансирования достаточно попадать в существующую категорию, технологию, функциональную группу и компонент и удовлетворять требования, указанные в критериях, уточнениях и параметрах проекта. Коды ГКЭД, ГСКП, ТН ВЭД содействуют в автоматизации процесса соответствия.</w:t>
      </w:r>
    </w:p>
    <w:p>
      <w:pPr>
        <w:spacing w:after="120"/>
        <w:ind w:firstLine="567"/>
        <w:jc w:val="both"/>
      </w:pPr>
      <w:r>
        <w:rPr>
          <w:rFonts w:ascii="Arial" w:cs="Arial" w:eastAsia="Arial" w:hAnsi="Arial"/>
          <w:sz w:val="24"/>
          <w:szCs w:val="24"/>
        </w:rPr>
        <w:t xml:space="preserve">29. До утверждения требований к оценщикам и документам соответствия оценка производится пользователями самостоятельно в соответствии с установленными внутренними процедурами пользователя, а документ соответствия формируется на основе вышеперечисленных правил настоящей главы.</w:t>
      </w:r>
    </w:p>
    <w:p>
      <w:pPr>
        <w:spacing w:after="120"/>
        <w:jc w:val="center"/>
      </w:pPr>
      <w:r>
        <w:rPr>
          <w:rFonts w:ascii="Arial" w:cs="Arial" w:eastAsia="Arial" w:hAnsi="Arial"/>
          <w:b/>
          <w:bCs/>
          <w:sz w:val="24"/>
          <w:szCs w:val="24"/>
        </w:rPr>
        <w:t xml:space="preserve">Глава 9. Фискальные стимулы</w:t>
      </w:r>
    </w:p>
    <w:p>
      <w:pPr>
        <w:spacing w:after="120"/>
        <w:ind w:firstLine="567"/>
        <w:jc w:val="both"/>
      </w:pPr>
      <w:r>
        <w:rPr>
          <w:rFonts w:ascii="Arial" w:cs="Arial" w:eastAsia="Arial" w:hAnsi="Arial"/>
          <w:sz w:val="24"/>
          <w:szCs w:val="24"/>
        </w:rPr>
        <w:t xml:space="preserve">30. </w:t>
      </w:r>
      <w:r>
        <w:rPr>
          <w:rFonts w:ascii="Arial" w:cs="Arial" w:eastAsia="Arial" w:hAnsi="Arial"/>
          <w:sz w:val="24"/>
          <w:szCs w:val="24"/>
        </w:rPr>
        <w:t xml:space="preserve">Глава 38</w:t>
      </w:r>
      <w:r>
        <w:rPr>
          <w:rFonts w:ascii="Arial" w:cs="Arial" w:eastAsia="Arial" w:hAnsi="Arial"/>
          <w:sz w:val="24"/>
          <w:szCs w:val="24"/>
        </w:rPr>
        <w:t xml:space="preserve"> Налогового </w:t>
      </w:r>
      <w:hyperlink w:history="1" r:id="rIdkdfn8qhvgjkkoquaoaux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определяет перечень товаров и услуг, поставка которых может осуществляться с нулевой ставкой НДС. </w:t>
      </w:r>
      <w:hyperlink w:history="1" r:id="rIdztyhkmnqaxs223v-1jdly">
        <w:r>
          <w:rPr>
            <w:rFonts w:ascii="Arial" w:cs="Arial" w:eastAsia="Arial" w:hAnsi="Arial"/>
            <w:color w:val="1D4ED8"/>
            <w:sz w:val="24"/>
            <w:szCs w:val="24"/>
            <w:u w:val="single"/>
          </w:rPr>
          <w:t xml:space="preserve">Статья 284</w:t>
        </w:r>
      </w:hyperlink>
      <w:r>
        <w:rPr>
          <w:rFonts w:ascii="Arial" w:cs="Arial" w:eastAsia="Arial" w:hAnsi="Arial"/>
          <w:sz w:val="24"/>
          <w:szCs w:val="24"/>
        </w:rPr>
        <w:t xml:space="preserve"> и пункт 22 </w:t>
      </w:r>
      <w:hyperlink w:history="1" r:id="rIdfib_8mjnko-fa6vrpaf4z">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 требуют определения в контексте нормативных правовых актов Кыргызской Республики списка технологий, оборудований и их комплектующих, отвечающих требованиям энерго- и ресурсоэффективности. Таксономия позволяет Кабинету Министров Кыргызской Республики выполнить указанные требования.</w:t>
      </w:r>
    </w:p>
    <w:p>
      <w:pPr>
        <w:spacing w:after="120"/>
        <w:ind w:firstLine="567"/>
        <w:jc w:val="both"/>
      </w:pPr>
      <w:r>
        <w:rPr>
          <w:rFonts w:ascii="Arial" w:cs="Arial" w:eastAsia="Arial" w:hAnsi="Arial"/>
          <w:sz w:val="24"/>
          <w:szCs w:val="24"/>
        </w:rPr>
        <w:t xml:space="preserve">31. Таксономией предусмотрены следующие механизмы реализации вышеуказанных требований:</w:t>
      </w:r>
    </w:p>
    <w:p>
      <w:pPr>
        <w:spacing w:after="120"/>
        <w:ind w:firstLine="567"/>
        <w:jc w:val="both"/>
      </w:pPr>
      <w:r>
        <w:rPr>
          <w:rFonts w:ascii="Arial" w:cs="Arial" w:eastAsia="Arial" w:hAnsi="Arial"/>
          <w:sz w:val="24"/>
          <w:szCs w:val="24"/>
        </w:rPr>
        <w:t xml:space="preserve">1) освобождение от уплаты НДС (без использования механизма возврата НДС) при переходе на таможенную территорию Кыргызской Республики иностранного товара. Данный механизм распространяется на оборудования/товары, которые описаны эксклюзивно зеленым кодом ТН ВЭД. Товары/оборудования, которые удовлетворяют требованиям Таксономии, но относящиеся к коду, покрывающему более широкий спектр товаров и предусматривающему фискальные преференции, смогут претендовать на освобождение после утверждения в установленном порядке необходимых справочников и инструкций, которыми может руководствоваться Государственная таможенная служба при Министерстве финансов Кыргызской Республики;</w:t>
      </w:r>
    </w:p>
    <w:p>
      <w:pPr>
        <w:spacing w:after="120"/>
        <w:ind w:firstLine="567"/>
        <w:jc w:val="both"/>
      </w:pPr>
      <w:r>
        <w:rPr>
          <w:rFonts w:ascii="Arial" w:cs="Arial" w:eastAsia="Arial" w:hAnsi="Arial"/>
          <w:sz w:val="24"/>
          <w:szCs w:val="24"/>
        </w:rPr>
        <w:t xml:space="preserve">2) освобождение от уплаты НДС на поставку технологий (услуг) или оборудований (товаров), уже находящихся на таможенной территории Кыргызской Республики, на основании соответствия Таксономии и категории, предусматривающее фискальные преференции. Субъекты предпринимательства, деятельность которых эксклюзивно покрывается кодом ГКЭД или кодом ГСКП и предусматривает фискальные преференции, могут претендовать на освобождение от уплаты НДС после утверждения Таксономии в установленном порядке;</w:t>
      </w:r>
    </w:p>
    <w:p>
      <w:pPr>
        <w:spacing w:after="120"/>
        <w:ind w:firstLine="567"/>
        <w:jc w:val="both"/>
      </w:pPr>
      <w:r>
        <w:rPr>
          <w:rFonts w:ascii="Arial" w:cs="Arial" w:eastAsia="Arial" w:hAnsi="Arial"/>
          <w:sz w:val="24"/>
          <w:szCs w:val="24"/>
        </w:rPr>
        <w:t xml:space="preserve">3) субъекты предпринимательства могут претендовать на фискальные преференции, если соответствующий код ГКЭД или код ГСКП покрывает более широкий спектр деятельности, подклассом которого является зеленая деятельность, только после доработки ГСКП (товаров и услуг) и утверждения необходимых инструкций для Государственной налоговой службы при Министерстве финансов Кыргызской Республики с целью обеспечения выполнения требований Таксономии;</w:t>
      </w:r>
    </w:p>
    <w:p>
      <w:pPr>
        <w:spacing w:after="120"/>
        <w:ind w:firstLine="567"/>
        <w:jc w:val="both"/>
      </w:pPr>
      <w:r>
        <w:rPr>
          <w:rFonts w:ascii="Arial" w:cs="Arial" w:eastAsia="Arial" w:hAnsi="Arial"/>
          <w:sz w:val="24"/>
          <w:szCs w:val="24"/>
        </w:rPr>
        <w:t xml:space="preserve">4) организация, занимающаяся несколькими видами деятельности, часть которых соответствуют Таксономии, может претендовать на преференции, если таковые предусмотрены только на ту деятельность, которая соответствует Таксономии.</w:t>
      </w:r>
    </w:p>
    <w:p>
      <w:pPr>
        <w:spacing w:after="120"/>
        <w:ind w:firstLine="567"/>
        <w:jc w:val="both"/>
      </w:pPr>
      <w:r>
        <w:rPr>
          <w:rFonts w:ascii="Arial" w:cs="Arial" w:eastAsia="Arial" w:hAnsi="Arial"/>
          <w:sz w:val="24"/>
          <w:szCs w:val="24"/>
        </w:rPr>
        <w:t xml:space="preserve">32. Основной целью фискального регулирования с применением Таксономии является снижение цены для конечного потребителя за товары и услуги на сумму освобождения от НДС (12%). Кабинет Министров Кыргызской Республики предвидит необходимость создания процедуры финансового мониторинга рынка для выявления фактов присвоения суммы НДС субъектами предпринимательства в виде чрезмерной выгоды в цепочке поставок до конечного потребителя. В случае обнаружения таких фактов Государственной налоговой службе при Министерстве финансов Кыргызской Республики необходимо провести проверку, и в случае подтверждения таких фактов, взыскать с субъекта(ов) предпринимательства эквивалентную сумму НДС, а также пеню в соответствии с действующими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33. Помимо освобождения от НДС согласно пункту 7.2 </w:t>
      </w:r>
      <w:hyperlink w:history="1" r:id="rId1flxmm9-jegwvmzm1cawp">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Налогового кодекса Кыргызской Республики предусмотрено освобождение от подоходного налога инвесторов по ценным бумагам, в том числе по зеленым облигациям, находящимся в листинге Кыргызской фондовой биржи.</w:t>
      </w:r>
    </w:p>
    <w:p>
      <w:pPr>
        <w:spacing w:after="120"/>
        <w:jc w:val="center"/>
      </w:pPr>
      <w:r>
        <w:rPr>
          <w:rFonts w:ascii="Arial" w:cs="Arial" w:eastAsia="Arial" w:hAnsi="Arial"/>
          <w:b/>
          <w:bCs/>
          <w:sz w:val="24"/>
          <w:szCs w:val="24"/>
        </w:rPr>
        <w:t xml:space="preserve">Глава 10. Критерии Соответствия Справочные таблицы по отраслям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
        <w:gridCol w:w="978"/>
        <w:gridCol w:w="1035"/>
        <w:gridCol w:w="1165"/>
        <w:gridCol w:w="1167"/>
        <w:gridCol w:w="408"/>
        <w:gridCol w:w="360"/>
        <w:gridCol w:w="619"/>
        <w:gridCol w:w="625"/>
        <w:gridCol w:w="537"/>
        <w:gridCol w:w="595"/>
        <w:gridCol w:w="974"/>
        <w:gridCol w:w="904"/>
        <w:gridCol w:w="644"/>
      </w:tblGrid>
      <w:tr>
        <w:tc>
          <w:tcPr>
            <w:tcW w:type="dxa" w:w="1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10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Технология</w:t>
            </w:r>
          </w:p>
        </w:tc>
        <w:tc>
          <w:tcPr>
            <w:tcW w:type="dxa" w:w="11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Функциональная группа</w:t>
            </w:r>
          </w:p>
        </w:tc>
        <w:tc>
          <w:tcPr>
            <w:tcW w:type="dxa" w:w="11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Компонент</w:t>
            </w:r>
          </w:p>
        </w:tc>
        <w:tc>
          <w:tcPr>
            <w:tcW w:type="dxa" w:w="4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ГКЭД</w:t>
            </w:r>
          </w:p>
        </w:tc>
        <w:tc>
          <w:tcPr>
            <w:tcW w:type="dxa" w:w="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NACE 2.1</w:t>
            </w:r>
          </w:p>
        </w:tc>
        <w:tc>
          <w:tcPr>
            <w:tcW w:type="dxa" w:w="6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ГСКП 3</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ГСКП 4
 (CPA 2.2)</w:t>
            </w:r>
          </w:p>
        </w:tc>
        <w:tc>
          <w:tcPr>
            <w:tcW w:type="dxa" w:w="5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w:t>
            </w:r>
          </w:p>
        </w:tc>
        <w:tc>
          <w:tcPr>
            <w:tcW w:type="dxa" w:w="5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EU CN Code</w:t>
            </w:r>
          </w:p>
        </w:tc>
        <w:tc>
          <w:tcPr>
            <w:tcW w:type="dxa" w:w="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Критерий</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Уточнения</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проекта</w:t>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Энергетика</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Возобновляемая энергетика</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солнечных электростанций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F42.22.12.100;</w:t>
            </w:r>
            <w:r>
              <w:rPr>
                <w:rFonts w:ascii="Arial" w:cs="Arial" w:eastAsia="Arial" w:hAnsi="Arial"/>
                <w:sz w:val="24"/>
                <w:szCs w:val="24"/>
              </w:rPr>
              <w:t xml:space="preserve">F42.22.13.100;</w:t>
            </w:r>
            <w:r>
              <w:rPr>
                <w:rFonts w:ascii="Arial" w:cs="Arial" w:eastAsia="Arial" w:hAnsi="Arial"/>
                <w:sz w:val="24"/>
                <w:szCs w:val="24"/>
              </w:rPr>
              <w:t xml:space="preserve">F42.22.22.100;</w:t>
            </w:r>
            <w:r>
              <w:rPr>
                <w:rFonts w:ascii="Arial" w:cs="Arial" w:eastAsia="Arial" w:hAnsi="Arial"/>
                <w:sz w:val="24"/>
                <w:szCs w:val="24"/>
              </w:rPr>
              <w:t xml:space="preserve">F42.22.23.100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СЭС,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1 МВт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D35.11.10.600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1 МВт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фоточувствительных полупроводников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Фотоэлектрические панели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C26.11.22.420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8541430000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85 41 43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операционные стандарты модулей.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панелей должны отсутствовать в списках фирм с ограничениями в связи с использованием принудительного труда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фоточувствительных полупроводников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Фотоэлектрические элементы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8541420000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85 41 42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Маркировка в соответствии с EN 50461 или эквивалентным стандартом или категории качества А и Б в соответствии с общими правилами сортировки модулей КНР</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элементов должны отсутствовать в списках фирм с ограничениями в связи с использованием принудительного труда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8504408500;</w:t>
            </w:r>
            <w:r>
              <w:rPr>
                <w:rFonts w:ascii="Arial" w:cs="Arial" w:eastAsia="Arial" w:hAnsi="Arial"/>
                <w:sz w:val="24"/>
                <w:szCs w:val="24"/>
              </w:rPr>
              <w:t xml:space="preserve">8504408700;</w:t>
            </w:r>
            <w:r>
              <w:rPr>
                <w:rFonts w:ascii="Arial" w:cs="Arial" w:eastAsia="Arial" w:hAnsi="Arial"/>
                <w:sz w:val="24"/>
                <w:szCs w:val="24"/>
              </w:rPr>
              <w:t xml:space="preserve">8504405500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 40 85 90;</w:t>
            </w:r>
            <w:r>
              <w:rPr>
                <w:rFonts w:ascii="Arial" w:cs="Arial" w:eastAsia="Arial" w:hAnsi="Arial"/>
                <w:sz w:val="24"/>
                <w:szCs w:val="24"/>
              </w:rPr>
              <w:t xml:space="preserve">85 04 40 86 90;</w:t>
            </w:r>
            <w:r>
              <w:rPr>
                <w:rFonts w:ascii="Arial" w:cs="Arial" w:eastAsia="Arial" w:hAnsi="Arial"/>
                <w:sz w:val="24"/>
                <w:szCs w:val="24"/>
              </w:rPr>
              <w:t xml:space="preserve">85 04 40 60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как инвертора для СЭС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фоточувствительных полупроводников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Кабельно-проводниковая продукция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C27.32.14.100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8544601000;</w:t>
            </w:r>
            <w:r>
              <w:rPr>
                <w:rFonts w:ascii="Arial" w:cs="Arial" w:eastAsia="Arial" w:hAnsi="Arial"/>
                <w:sz w:val="24"/>
                <w:szCs w:val="24"/>
              </w:rPr>
              <w:t xml:space="preserve">8544499108</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44 60 10 10;</w:t>
            </w:r>
            <w:r>
              <w:rPr>
                <w:rFonts w:ascii="Arial" w:cs="Arial" w:eastAsia="Arial" w:hAnsi="Arial"/>
                <w:sz w:val="24"/>
                <w:szCs w:val="24"/>
              </w:rPr>
              <w:t xml:space="preserve">85 44 60 10;</w:t>
            </w:r>
            <w:r>
              <w:rPr>
                <w:rFonts w:ascii="Arial" w:cs="Arial" w:eastAsia="Arial" w:hAnsi="Arial"/>
                <w:sz w:val="24"/>
                <w:szCs w:val="24"/>
              </w:rPr>
              <w:t xml:space="preserve">85 44 49 91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(EN 50618), UL (UL 4703), IEC и эквивалентных стандартов на кабельно-проводниковую продукцию, подтверждающих стойкость изоляции к озону и ультрафиолетовому излучению. Обязательное наличие сертификата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Двунаправленные счетчики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С26.51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C26.51.63.700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C26.51.63.710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28 30 11;</w:t>
            </w:r>
            <w:r>
              <w:rPr>
                <w:rFonts w:ascii="Arial" w:cs="Arial" w:eastAsia="Arial" w:hAnsi="Arial"/>
                <w:sz w:val="24"/>
                <w:szCs w:val="24"/>
              </w:rPr>
              <w:t xml:space="preserve">90 28 30 19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ГОСТ, EAC, IEC, покрывающим безопасность, функционал и точность счетчика.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счетчика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 СЭС на зданиях</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F43.21.10.910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зеркальных концентраторов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концентраторы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C26.70.21.500;</w:t>
            </w:r>
            <w:r>
              <w:rPr>
                <w:rFonts w:ascii="Arial" w:cs="Arial" w:eastAsia="Arial" w:hAnsi="Arial"/>
                <w:sz w:val="24"/>
                <w:szCs w:val="24"/>
              </w:rPr>
              <w:t xml:space="preserve">C26.70.21.530;</w:t>
            </w:r>
            <w:r>
              <w:rPr>
                <w:rFonts w:ascii="Arial" w:cs="Arial" w:eastAsia="Arial" w:hAnsi="Arial"/>
                <w:sz w:val="24"/>
                <w:szCs w:val="24"/>
              </w:rPr>
              <w:t xml:space="preserve">C26.70.21.550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C26.70.21.510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7009920000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70 09 92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критерию методом визуальной оценки или на основе сопровождающей технической или товарной документации. Наличие подтверждающей документации об отсутствии тяжелых металлов и стойких органических загрязнителей в конструкции изделия. В случае наличия электрооборудования в конструкции,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G46.64.08.100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или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 оборудования для проектирования, эксплуатации или обслуживания СЭС или солнечных тепловых систем, а также самих СЭС, солнечных тепловых систем или их частей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077.39.09.100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 или солнечным тепловым системам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коллекторы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28.21.17.100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8419120000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84 19 12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критерию методом визуальной оценки или на основе сопровождающей технической или товарной документации. Наличие подтверждающей документации об отсутствии тяжелых металлов и стойких органических загрязнителей в конструкции изделия. В случае наличия электрооборудования в конструкции,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Бойлеры косвенного нагрева (аккумуляторы тепла)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С25.21;</w:t>
            </w:r>
            <w:r>
              <w:rPr>
                <w:rFonts w:ascii="Arial" w:cs="Arial" w:eastAsia="Arial" w:hAnsi="Arial"/>
                <w:sz w:val="24"/>
                <w:szCs w:val="24"/>
              </w:rPr>
              <w:t xml:space="preserve">C25.22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7310100000;</w:t>
            </w:r>
            <w:r>
              <w:rPr>
                <w:rFonts w:ascii="Arial" w:cs="Arial" w:eastAsia="Arial" w:hAnsi="Arial"/>
                <w:sz w:val="24"/>
                <w:szCs w:val="24"/>
              </w:rPr>
              <w:t xml:space="preserve">7310299000;</w:t>
            </w:r>
            <w:r>
              <w:rPr>
                <w:rFonts w:ascii="Arial" w:cs="Arial" w:eastAsia="Arial" w:hAnsi="Arial"/>
                <w:sz w:val="24"/>
                <w:szCs w:val="24"/>
              </w:rPr>
              <w:t xml:space="preserve">8516108000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10 10 00 10;</w:t>
            </w:r>
            <w:r>
              <w:rPr>
                <w:rFonts w:ascii="Arial" w:cs="Arial" w:eastAsia="Arial" w:hAnsi="Arial"/>
                <w:sz w:val="24"/>
                <w:szCs w:val="24"/>
              </w:rPr>
              <w:t xml:space="preserve">73 10 29 90 10;</w:t>
            </w:r>
            <w:r>
              <w:rPr>
                <w:rFonts w:ascii="Arial" w:cs="Arial" w:eastAsia="Arial" w:hAnsi="Arial"/>
                <w:sz w:val="24"/>
                <w:szCs w:val="24"/>
              </w:rPr>
              <w:t xml:space="preserve">85 16 10 80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критерию методом визуальной оценки или на основе сопровождающей технической или товарной документации. Наличие подтверждающей документации об отсутствии тяжелых металлов в конструкции изделия. В случае наличия электрооборудования в конструкции, наличие документации, удовлетворяющей требованиям RoHS в соответствии с Директивой 2011/65/EU. Соответствие классу энергоэффективности "А" на основе требований Регуляции (ЕС) № 814/2013 или имеющие такие же характеристики на подтвержденного другим эквивалентным международным стандартом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бойлера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блоки управления солнечными тепловыми установками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 C27.90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C26.51.52.300;</w:t>
            </w:r>
            <w:r>
              <w:rPr>
                <w:rFonts w:ascii="Arial" w:cs="Arial" w:eastAsia="Arial" w:hAnsi="Arial"/>
                <w:sz w:val="24"/>
                <w:szCs w:val="24"/>
              </w:rPr>
              <w:t xml:space="preserve">C26.51.70.900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C27.90.11.100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9032102000;</w:t>
            </w:r>
            <w:r>
              <w:rPr>
                <w:rFonts w:ascii="Arial" w:cs="Arial" w:eastAsia="Arial" w:hAnsi="Arial"/>
                <w:sz w:val="24"/>
                <w:szCs w:val="24"/>
              </w:rPr>
              <w:t xml:space="preserve"> 9032890000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32 10 20 90;</w:t>
            </w:r>
            <w:r>
              <w:rPr>
                <w:rFonts w:ascii="Arial" w:cs="Arial" w:eastAsia="Arial" w:hAnsi="Arial"/>
                <w:sz w:val="24"/>
                <w:szCs w:val="24"/>
              </w:rPr>
              <w:t xml:space="preserve">90 32 89 00 40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ГОСТ, EAC, IEC, покрывающим безопасность и функционал контроллера.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контроллера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и монтаж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солнечным тепловым системам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аренды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территории в аренду для установки солнечных коллекторов и прочего оборудования для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M68.20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M68.20.02.100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G46.90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G46.84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G46.90.10.000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G46.84.02.100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G47.52.05.100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ветряных электростанций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F42.22.12.200;</w:t>
            </w:r>
            <w:r>
              <w:rPr>
                <w:rFonts w:ascii="Arial" w:cs="Arial" w:eastAsia="Arial" w:hAnsi="Arial"/>
                <w:sz w:val="24"/>
                <w:szCs w:val="24"/>
              </w:rPr>
              <w:t xml:space="preserve">F42.22.13.200;</w:t>
            </w:r>
            <w:r>
              <w:rPr>
                <w:rFonts w:ascii="Arial" w:cs="Arial" w:eastAsia="Arial" w:hAnsi="Arial"/>
                <w:sz w:val="24"/>
                <w:szCs w:val="24"/>
              </w:rPr>
              <w:t xml:space="preserve">F42.22.22.200;</w:t>
            </w:r>
            <w:r>
              <w:rPr>
                <w:rFonts w:ascii="Arial" w:cs="Arial" w:eastAsia="Arial" w:hAnsi="Arial"/>
                <w:sz w:val="24"/>
                <w:szCs w:val="24"/>
              </w:rPr>
              <w:t xml:space="preserve">F42.22.23.200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30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30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 оборудования для эксплуатации или обслуживания ВЭС, а также самих ВЭС и их компонентов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077.22.30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30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Гондола и/или генератор ветряной турбины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8502310000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02 31 00 85;</w:t>
            </w:r>
            <w:r>
              <w:rPr>
                <w:rFonts w:ascii="Arial" w:cs="Arial" w:eastAsia="Arial" w:hAnsi="Arial"/>
                <w:sz w:val="24"/>
                <w:szCs w:val="24"/>
              </w:rPr>
              <w:t xml:space="preserve">85 02 31 00 97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установок малой мощности в соответствии с IEC61400-2. Соответствие техническим стандартам, позволяющим наносить маркировку СЕ, или сертификация по какому-либо из стандартов: IEC, Canadian Wind Turbine Codes and Standards, JSWTA, Renewable UK Small Wind Turbine Standard, AWEA Small Wind Turbine Performance and Safety Standard, покрывающим операционные качества изделия и его безопасность. Для продукции изначально сертифицированной для рынков Северной Америки и Японии проектные показатели генератора стандарта частоты переменного тока должны быть равными 50 Гц. Наличие документации, удовлетворяющей требованиям RoHS в соответствии с Директивой 2011/65/EU. Для установок большей мощности соответствие действующим стандартам для промышленных установок Кыргызской Республики и/или секторальным стандартам ЕС или Объединенного Королевства без ограничений, или США, Канады, и Японии, но только для генераторов, выдающих частоту переменного тока равную 50 Гц</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Мачта ветряной турбины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C25.11.23.500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7308200000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08 20 00 11;</w:t>
            </w:r>
            <w:r>
              <w:rPr>
                <w:rFonts w:ascii="Arial" w:cs="Arial" w:eastAsia="Arial" w:hAnsi="Arial"/>
                <w:sz w:val="24"/>
                <w:szCs w:val="24"/>
              </w:rPr>
              <w:t xml:space="preserve">73 08 20 00 90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установок малой мощности в соответствии с IEC 61400-2, которые проходили сертификацию совместно с гондолой и лопастями, соответствие тем же стандартам, по которым была сертифицирована гондола, для тех, которые поставляются отдельно - нормативным требованиям Кыргызской Республики. Для установок большой мощности - нормативным требованиям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 колпак ротора, тормозные механизмы и прочие запчасти гондолы (если поставляются отдельно от гондолы), лопасти ветряной турбины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8412908009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производителя турбины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G46.64.08.200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гидроэлектростанций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 или ГАЭС. Проекты должны демонстрировать суммарные выбросы парниковых газов на протяжении жизненного цикла (40 лет), которые меньше 50 грамм СО2е/кВтч. Все леса, которые попадают ниже ватерлинии водохранилища, должны быть вырезаны для использования в продукции деревообработки или для пеллетирования в биотопливо, а также необходимо высадить новые леса в объеме саженцев, эквивалентном существующему углеродному содержанию вырезанного леса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F42.22.12.300;</w:t>
            </w:r>
            <w:r>
              <w:rPr>
                <w:rFonts w:ascii="Arial" w:cs="Arial" w:eastAsia="Arial" w:hAnsi="Arial"/>
                <w:sz w:val="24"/>
                <w:szCs w:val="24"/>
              </w:rPr>
              <w:t xml:space="preserve">F42.22.13.300;</w:t>
            </w:r>
            <w:r>
              <w:rPr>
                <w:rFonts w:ascii="Arial" w:cs="Arial" w:eastAsia="Arial" w:hAnsi="Arial"/>
                <w:sz w:val="24"/>
                <w:szCs w:val="24"/>
              </w:rPr>
              <w:t xml:space="preserve">F42.22.22.300;</w:t>
            </w:r>
            <w:r>
              <w:rPr>
                <w:rFonts w:ascii="Arial" w:cs="Arial" w:eastAsia="Arial" w:hAnsi="Arial"/>
                <w:sz w:val="24"/>
                <w:szCs w:val="24"/>
              </w:rPr>
              <w:t xml:space="preserve">F42.22.23.300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ГЭС,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500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D35.12.00.300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500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 оборудования для эксплуатации или обслуживания ГЭС, а также самих ГЭС и их компонентов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O77.39.40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турбины и их части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G46.64.08.300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централизованных отопительных и охладительных систем с использованием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системам централизованного отопления и охлаждения, основанным на системах тепловых насосов. Проект должен показывать чистую экономию в выбросе парниковых газов с учетом всех факторов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сооружения централизованных отопительных и охладительных систем с использованием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F42.99.29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системам централизованного отопления и охлаждения основанным на системах тепловых насосов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централизованных отопительных и охладительных систем с использованием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D35.30.11.800;</w:t>
            </w:r>
            <w:r>
              <w:rPr>
                <w:rFonts w:ascii="Arial" w:cs="Arial" w:eastAsia="Arial" w:hAnsi="Arial"/>
                <w:sz w:val="24"/>
                <w:szCs w:val="24"/>
              </w:rPr>
              <w:t xml:space="preserve">D35.30.22.000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D35.30.10;</w:t>
            </w:r>
            <w:r>
              <w:rPr>
                <w:rFonts w:ascii="Arial" w:cs="Arial" w:eastAsia="Arial" w:hAnsi="Arial"/>
                <w:sz w:val="24"/>
                <w:szCs w:val="24"/>
              </w:rPr>
              <w:t xml:space="preserve">D35.30.12;</w:t>
            </w:r>
            <w:r>
              <w:rPr>
                <w:rFonts w:ascii="Arial" w:cs="Arial" w:eastAsia="Arial" w:hAnsi="Arial"/>
                <w:sz w:val="24"/>
                <w:szCs w:val="24"/>
              </w:rPr>
              <w:t xml:space="preserve">D35.30.30;</w:t>
            </w:r>
            <w:r>
              <w:rPr>
                <w:rFonts w:ascii="Arial" w:cs="Arial" w:eastAsia="Arial" w:hAnsi="Arial"/>
                <w:sz w:val="24"/>
                <w:szCs w:val="24"/>
              </w:rPr>
              <w:t xml:space="preserve">D35.30.32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системам централизованного отопления и охлаждения основанных на системах тепловых насосов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насосы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C28.25.12.500;</w:t>
            </w:r>
            <w:r>
              <w:rPr>
                <w:rFonts w:ascii="Arial" w:cs="Arial" w:eastAsia="Arial" w:hAnsi="Arial"/>
                <w:sz w:val="24"/>
                <w:szCs w:val="24"/>
              </w:rPr>
              <w:t xml:space="preserve">C28.25.13.800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C28.25.12.500;</w:t>
            </w:r>
            <w:r>
              <w:rPr>
                <w:rFonts w:ascii="Arial" w:cs="Arial" w:eastAsia="Arial" w:hAnsi="Arial"/>
                <w:sz w:val="24"/>
                <w:szCs w:val="24"/>
              </w:rPr>
              <w:t xml:space="preserve">C28.25.13.800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84158100;</w:t>
            </w:r>
            <w:r>
              <w:rPr>
                <w:rFonts w:ascii="Arial" w:cs="Arial" w:eastAsia="Arial" w:hAnsi="Arial"/>
                <w:sz w:val="24"/>
                <w:szCs w:val="24"/>
              </w:rPr>
              <w:t xml:space="preserve">8418610011;</w:t>
            </w:r>
            <w:r>
              <w:rPr>
                <w:rFonts w:ascii="Arial" w:cs="Arial" w:eastAsia="Arial" w:hAnsi="Arial"/>
                <w:sz w:val="24"/>
                <w:szCs w:val="24"/>
              </w:rPr>
              <w:t xml:space="preserve">8418610019;</w:t>
            </w:r>
            <w:r>
              <w:rPr>
                <w:rFonts w:ascii="Arial" w:cs="Arial" w:eastAsia="Arial" w:hAnsi="Arial"/>
                <w:sz w:val="24"/>
                <w:szCs w:val="24"/>
              </w:rPr>
              <w:t xml:space="preserve">8418610099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15 81 00 91;</w:t>
            </w:r>
            <w:r>
              <w:rPr>
                <w:rFonts w:ascii="Arial" w:cs="Arial" w:eastAsia="Arial" w:hAnsi="Arial"/>
                <w:sz w:val="24"/>
                <w:szCs w:val="24"/>
              </w:rPr>
              <w:t xml:space="preserve">84 15 81 00 99;</w:t>
            </w:r>
            <w:r>
              <w:rPr>
                <w:rFonts w:ascii="Arial" w:cs="Arial" w:eastAsia="Arial" w:hAnsi="Arial"/>
                <w:sz w:val="24"/>
                <w:szCs w:val="24"/>
              </w:rPr>
              <w:t xml:space="preserve">84 18 61 00 91;</w:t>
            </w:r>
            <w:r>
              <w:rPr>
                <w:rFonts w:ascii="Arial" w:cs="Arial" w:eastAsia="Arial" w:hAnsi="Arial"/>
                <w:sz w:val="24"/>
                <w:szCs w:val="24"/>
              </w:rPr>
              <w:t xml:space="preserve">84 18 61 00 99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 Рабочее тело должно быть на базе органического или синтетического газа(ов) с низким коэффициентом парниковости (менее 800 кг/кг). Газ рабочего тела должен отсутствовать в списке газов, контролируемых Монреальским протоколом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насосы (запчасти)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C28.25.30.100;</w:t>
            </w:r>
            <w:r>
              <w:rPr>
                <w:rFonts w:ascii="Arial" w:cs="Arial" w:eastAsia="Arial" w:hAnsi="Arial"/>
                <w:sz w:val="24"/>
                <w:szCs w:val="24"/>
              </w:rPr>
              <w:t xml:space="preserve">C28.25.30.500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C28.25.30.100;</w:t>
            </w:r>
            <w:r>
              <w:rPr>
                <w:rFonts w:ascii="Arial" w:cs="Arial" w:eastAsia="Arial" w:hAnsi="Arial"/>
                <w:sz w:val="24"/>
                <w:szCs w:val="24"/>
              </w:rPr>
              <w:t xml:space="preserve">C28.25.30.500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8415900009;</w:t>
            </w:r>
            <w:r>
              <w:rPr>
                <w:rFonts w:ascii="Arial" w:cs="Arial" w:eastAsia="Arial" w:hAnsi="Arial"/>
                <w:sz w:val="24"/>
                <w:szCs w:val="24"/>
              </w:rPr>
              <w:t xml:space="preserve">841899100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15 90 00 65;</w:t>
            </w:r>
            <w:r>
              <w:rPr>
                <w:rFonts w:ascii="Arial" w:cs="Arial" w:eastAsia="Arial" w:hAnsi="Arial"/>
                <w:sz w:val="24"/>
                <w:szCs w:val="24"/>
              </w:rPr>
              <w:t xml:space="preserve">84 15 90 00 91;</w:t>
            </w:r>
            <w:r>
              <w:rPr>
                <w:rFonts w:ascii="Arial" w:cs="Arial" w:eastAsia="Arial" w:hAnsi="Arial"/>
                <w:sz w:val="24"/>
                <w:szCs w:val="24"/>
              </w:rPr>
              <w:t xml:space="preserve">84 15 90 00 99;</w:t>
            </w:r>
            <w:r>
              <w:rPr>
                <w:rFonts w:ascii="Arial" w:cs="Arial" w:eastAsia="Arial" w:hAnsi="Arial"/>
                <w:sz w:val="24"/>
                <w:szCs w:val="24"/>
              </w:rPr>
              <w:t xml:space="preserve">84 18 99 10 81;</w:t>
            </w:r>
            <w:r>
              <w:rPr>
                <w:rFonts w:ascii="Arial" w:cs="Arial" w:eastAsia="Arial" w:hAnsi="Arial"/>
                <w:sz w:val="24"/>
                <w:szCs w:val="24"/>
              </w:rPr>
              <w:t xml:space="preserve">84 18 99 10 87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нужд производителей тепловых насосов на территории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тепловыми насосами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и монтаж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F43.22.12.200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F43.22.12.300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установке тепловых насосов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077.22.09.100;</w:t>
            </w:r>
            <w:r>
              <w:rPr>
                <w:rFonts w:ascii="Arial" w:cs="Arial" w:eastAsia="Arial" w:hAnsi="Arial"/>
                <w:sz w:val="24"/>
                <w:szCs w:val="24"/>
              </w:rPr>
              <w:t xml:space="preserve">077.39.09.100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 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высоковольтных магистральных сетей и распределительных сетей с целью подключения, в том числе и к национальной сети, новых мощностей генерации от источников возобновляемой энергии, или мероприятий по улучшению стойкости сети к изменениям климата, или существенного снижения потерь (более 10%) по сравнению с существующей инфраструктурой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высоковольтных магистральных сетей для вышеперечисленных целей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w:t>
            </w:r>
            <w:r>
              <w:rPr>
                <w:rFonts w:ascii="Arial" w:cs="Arial" w:eastAsia="Arial" w:hAnsi="Arial"/>
                <w:sz w:val="24"/>
                <w:szCs w:val="24"/>
              </w:rPr>
              <w:t xml:space="preserve">F42.22.12;</w:t>
            </w:r>
            <w:r>
              <w:rPr>
                <w:rFonts w:ascii="Arial" w:cs="Arial" w:eastAsia="Arial" w:hAnsi="Arial"/>
                <w:sz w:val="24"/>
                <w:szCs w:val="24"/>
              </w:rPr>
              <w:t xml:space="preserve">F42.22.21;</w:t>
            </w:r>
            <w:r>
              <w:rPr>
                <w:rFonts w:ascii="Arial" w:cs="Arial" w:eastAsia="Arial" w:hAnsi="Arial"/>
                <w:sz w:val="24"/>
                <w:szCs w:val="24"/>
              </w:rPr>
              <w:t xml:space="preserve">F42.22.12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F42.22.11.100; F42.22.12.100; F42.22.21.100; F42.22.12.100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сердечником из аморфного железа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8504210000;</w:t>
            </w:r>
            <w:r>
              <w:rPr>
                <w:rFonts w:ascii="Arial" w:cs="Arial" w:eastAsia="Arial" w:hAnsi="Arial"/>
                <w:sz w:val="24"/>
                <w:szCs w:val="24"/>
              </w:rPr>
              <w:t xml:space="preserve">8504220000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Охлаждающая жидкость и конструкция трансформатора не должна содержать стойкие органические загрязнители в соответствии со Стокгольмской конвенцией по СОЗ</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трансформатора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высокой мощности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8504229000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Охлаждающая жидкость и конструкция трансформатора не должна содержать стойкие органические загрязнители в соответствии с Стокгольмской конвенцией по СОЗ</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трансформаторами с сердечником из аморфного железа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распределительных сетей в зоне ответственности оператора объекта генерации возобновляемой энергии или системы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D35.13.20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Низковольтные сети &lt; 1,5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низковольтных сетей с целью подключения мощностей генерации от источников возобновляемой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Низковольтные сети &lt; 1,5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низковольтных сетей для вышеперечисленных целей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w:t>
            </w:r>
            <w:r>
              <w:rPr>
                <w:rFonts w:ascii="Arial" w:cs="Arial" w:eastAsia="Arial" w:hAnsi="Arial"/>
                <w:sz w:val="24"/>
                <w:szCs w:val="24"/>
              </w:rPr>
              <w:t xml:space="preserve">F42.22.12;</w:t>
            </w:r>
            <w:r>
              <w:rPr>
                <w:rFonts w:ascii="Arial" w:cs="Arial" w:eastAsia="Arial" w:hAnsi="Arial"/>
                <w:sz w:val="24"/>
                <w:szCs w:val="24"/>
              </w:rPr>
              <w:t xml:space="preserve">F42.22.21;</w:t>
            </w:r>
            <w:r>
              <w:rPr>
                <w:rFonts w:ascii="Arial" w:cs="Arial" w:eastAsia="Arial" w:hAnsi="Arial"/>
                <w:sz w:val="24"/>
                <w:szCs w:val="24"/>
              </w:rPr>
              <w:t xml:space="preserve">F42.22.12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F42.22.11.100;</w:t>
            </w:r>
            <w:r>
              <w:rPr>
                <w:rFonts w:ascii="Arial" w:cs="Arial" w:eastAsia="Arial" w:hAnsi="Arial"/>
                <w:sz w:val="24"/>
                <w:szCs w:val="24"/>
              </w:rPr>
              <w:t xml:space="preserve">F42.22.12.400;</w:t>
            </w:r>
            <w:r>
              <w:rPr>
                <w:rFonts w:ascii="Arial" w:cs="Arial" w:eastAsia="Arial" w:hAnsi="Arial"/>
                <w:sz w:val="24"/>
                <w:szCs w:val="24"/>
              </w:rPr>
              <w:t xml:space="preserve">F42.22.21.100;</w:t>
            </w:r>
            <w:r>
              <w:rPr>
                <w:rFonts w:ascii="Arial" w:cs="Arial" w:eastAsia="Arial" w:hAnsi="Arial"/>
                <w:sz w:val="24"/>
                <w:szCs w:val="24"/>
              </w:rPr>
              <w:t xml:space="preserve">F42.22.12.100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электроэнергии</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гидроаккумулирующих электростанций (ГАЭС)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ГАЭС. Проекты должны демонстрировать суммарные выбросы парниковых газов на протяжении жизненного цикла (40 лет), которые меньше 300 грамм СО2е/кВтч</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ГАЭС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F42.22.12.500;</w:t>
            </w:r>
            <w:r>
              <w:rPr>
                <w:rFonts w:ascii="Arial" w:cs="Arial" w:eastAsia="Arial" w:hAnsi="Arial"/>
                <w:sz w:val="24"/>
                <w:szCs w:val="24"/>
              </w:rPr>
              <w:t xml:space="preserve">F42.22.13.500;</w:t>
            </w:r>
            <w:r>
              <w:rPr>
                <w:rFonts w:ascii="Arial" w:cs="Arial" w:eastAsia="Arial" w:hAnsi="Arial"/>
                <w:sz w:val="24"/>
                <w:szCs w:val="24"/>
              </w:rPr>
              <w:t xml:space="preserve">F42.22.22.500;</w:t>
            </w:r>
            <w:r>
              <w:rPr>
                <w:rFonts w:ascii="Arial" w:cs="Arial" w:eastAsia="Arial" w:hAnsi="Arial"/>
                <w:sz w:val="24"/>
                <w:szCs w:val="24"/>
              </w:rPr>
              <w:t xml:space="preserve">F42.22.23.500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ГАЭС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ГАЭС,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ГАЭС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ГАЭС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аккумуляторных массивов для хранения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и введению в эксплуатацию аккумуляторных массивов для хранения электроэнергии. Проекты должны демонстрировать суммарные выбросы парниковых газов на протяжении жизненного цикла (40 лет), которые меньше 300 грамм СО2е/кВтч. Проектная документация должна включать действенный и профинансированный план по утилизации/переработке аккумуляторов по окончанию их срока службы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аккумуляторных массивов для хранения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F42.22.12.600;</w:t>
            </w:r>
            <w:r>
              <w:rPr>
                <w:rFonts w:ascii="Arial" w:cs="Arial" w:eastAsia="Arial" w:hAnsi="Arial"/>
                <w:sz w:val="24"/>
                <w:szCs w:val="24"/>
              </w:rPr>
              <w:t xml:space="preserve">F42.22.13.600;</w:t>
            </w:r>
            <w:r>
              <w:rPr>
                <w:rFonts w:ascii="Arial" w:cs="Arial" w:eastAsia="Arial" w:hAnsi="Arial"/>
                <w:sz w:val="24"/>
                <w:szCs w:val="24"/>
              </w:rPr>
              <w:t xml:space="preserve">F42.22.22.600;</w:t>
            </w:r>
            <w:r>
              <w:rPr>
                <w:rFonts w:ascii="Arial" w:cs="Arial" w:eastAsia="Arial" w:hAnsi="Arial"/>
                <w:sz w:val="24"/>
                <w:szCs w:val="24"/>
              </w:rPr>
              <w:t xml:space="preserve">F42.22.23.600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аккумуляторным массивам для хранения электроэнергии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аккумуляторных массивов для хранения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Производство/переработка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новых аккумуляторов (ячеек, батарей и массивов) для хранения электроэнергии. Вторичная переработка аккумуляторов (ячеек, батарей и массивов)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w:t>
            </w:r>
            <w:r>
              <w:rPr>
                <w:rFonts w:ascii="Arial" w:cs="Arial" w:eastAsia="Arial" w:hAnsi="Arial"/>
                <w:sz w:val="24"/>
                <w:szCs w:val="24"/>
              </w:rPr>
              <w:t xml:space="preserve">E38.32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w:t>
            </w: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C27.20.23;</w:t>
            </w:r>
            <w:r>
              <w:rPr>
                <w:rFonts w:ascii="Arial" w:cs="Arial" w:eastAsia="Arial" w:hAnsi="Arial"/>
                <w:sz w:val="24"/>
                <w:szCs w:val="24"/>
              </w:rPr>
              <w:t xml:space="preserve">E38.32.39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C27.20.24;</w:t>
            </w:r>
            <w:r>
              <w:rPr>
                <w:rFonts w:ascii="Arial" w:cs="Arial" w:eastAsia="Arial" w:hAnsi="Arial"/>
                <w:sz w:val="24"/>
                <w:szCs w:val="24"/>
              </w:rPr>
              <w:t xml:space="preserve">E38.21.26.100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механических систем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N71.12.13.700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и введению в эксплуатацию механических систем хранения энергии. Проекты должны демонстрировать суммарные выбросы парниковых газов на протяжении жизненного цикла (40 лет), которые меньше 300 грамм СО2е/кВтч</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сооружения механических систем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F42.XX</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F42.22.12.700;</w:t>
            </w:r>
            <w:r>
              <w:rPr>
                <w:rFonts w:ascii="Arial" w:cs="Arial" w:eastAsia="Arial" w:hAnsi="Arial"/>
                <w:sz w:val="24"/>
                <w:szCs w:val="24"/>
              </w:rPr>
              <w:t xml:space="preserve">F42.22.13.700;</w:t>
            </w:r>
            <w:r>
              <w:rPr>
                <w:rFonts w:ascii="Arial" w:cs="Arial" w:eastAsia="Arial" w:hAnsi="Arial"/>
                <w:sz w:val="24"/>
                <w:szCs w:val="24"/>
              </w:rPr>
              <w:t xml:space="preserve">F42.22.22.700;</w:t>
            </w:r>
            <w:r>
              <w:rPr>
                <w:rFonts w:ascii="Arial" w:cs="Arial" w:eastAsia="Arial" w:hAnsi="Arial"/>
                <w:sz w:val="24"/>
                <w:szCs w:val="24"/>
              </w:rPr>
              <w:t xml:space="preserve">F42.22.23.700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механическим системам хранения энергии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механических систем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D35.16.00.300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водород</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электролизных и компрессорных установок для производства водорода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и введению в эксплуатацию электролизных и компрессорных установок для производства водорода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электролизных и компрессорных установок для производства водорода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F42.22.12.800;</w:t>
            </w:r>
            <w:r>
              <w:rPr>
                <w:rFonts w:ascii="Arial" w:cs="Arial" w:eastAsia="Arial" w:hAnsi="Arial"/>
                <w:sz w:val="24"/>
                <w:szCs w:val="24"/>
              </w:rPr>
              <w:t xml:space="preserve">F42.22.13.800;</w:t>
            </w:r>
            <w:r>
              <w:rPr>
                <w:rFonts w:ascii="Arial" w:cs="Arial" w:eastAsia="Arial" w:hAnsi="Arial"/>
                <w:sz w:val="24"/>
                <w:szCs w:val="24"/>
              </w:rPr>
              <w:t xml:space="preserve">F42.22.22.800;</w:t>
            </w:r>
            <w:r>
              <w:rPr>
                <w:rFonts w:ascii="Arial" w:cs="Arial" w:eastAsia="Arial" w:hAnsi="Arial"/>
                <w:sz w:val="24"/>
                <w:szCs w:val="24"/>
              </w:rPr>
              <w:t xml:space="preserve">F42.22.23.800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электролизным и компрессорным установкам для производства водорода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электролизных и компрессорных установок для производства водорода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Электролизные установки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C27.11.50.900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8543300000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85 43 30 70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электролизными установками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инженеров, проектировщиков, мастеров и прочих специалистов для профессиональной деятельности в сфере возобновляемой энергетики, хранения энергии и преобразования электрической энергии в водород</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 относящаяся исключительно к вышеприведенным категориям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Частный транспорт</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инфраструктура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выделенной дорожной инфраструктуры, вынесенной за пределы проезжей части, предназначенной для движения пешеходов и людей с ограниченной мобильностью и другими специальными нуждами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выделенной инфраструктуры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инфраструктура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выделенной дорожной инфраструктуры, вынесенной за пределы проезжей части, предназначенной для движения пешеходов и людей с ограниченной мобильностью и другими специальными нуждами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w:t>
            </w:r>
            <w:r>
              <w:rPr>
                <w:rFonts w:ascii="Arial" w:cs="Arial" w:eastAsia="Arial" w:hAnsi="Arial"/>
                <w:sz w:val="24"/>
                <w:szCs w:val="24"/>
              </w:rPr>
              <w:t xml:space="preserve">F42.11.2;</w:t>
            </w:r>
            <w:r>
              <w:rPr>
                <w:rFonts w:ascii="Arial" w:cs="Arial" w:eastAsia="Arial" w:hAnsi="Arial"/>
                <w:sz w:val="24"/>
                <w:szCs w:val="24"/>
              </w:rPr>
              <w:t xml:space="preserve">F42.13.1;</w:t>
            </w:r>
            <w:r>
              <w:rPr>
                <w:rFonts w:ascii="Arial" w:cs="Arial" w:eastAsia="Arial" w:hAnsi="Arial"/>
                <w:sz w:val="24"/>
                <w:szCs w:val="24"/>
              </w:rPr>
              <w:t xml:space="preserve">F42.13.2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F42.11.10.100;</w:t>
            </w:r>
            <w:r>
              <w:rPr>
                <w:rFonts w:ascii="Arial" w:cs="Arial" w:eastAsia="Arial" w:hAnsi="Arial"/>
                <w:sz w:val="24"/>
                <w:szCs w:val="24"/>
              </w:rPr>
              <w:t xml:space="preserve">F42.11.20.100;</w:t>
            </w:r>
            <w:r>
              <w:rPr>
                <w:rFonts w:ascii="Arial" w:cs="Arial" w:eastAsia="Arial" w:hAnsi="Arial"/>
                <w:sz w:val="24"/>
                <w:szCs w:val="24"/>
              </w:rPr>
              <w:t xml:space="preserve">F42.13.10.100;</w:t>
            </w:r>
            <w:r>
              <w:rPr>
                <w:rFonts w:ascii="Arial" w:cs="Arial" w:eastAsia="Arial" w:hAnsi="Arial"/>
                <w:sz w:val="24"/>
                <w:szCs w:val="24"/>
              </w:rPr>
              <w:t xml:space="preserve">F42.13.20.100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выделенной инфраструктуре</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выделенной дорожной инфраструктуры,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выделенной дорожной инфраструктуры, вынесенной за пределы проезжей части, предназначенной для движения автотранспорта, передвижения безмоторных транспортных средств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выделенной инфраструктуры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движения автотранспорта, передвижения безмоторных транспортных средств и микроэлектротранспорта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выделенной дорожной инфраструктуры, вынесенной за пределы проезжей части, предназначенной для движения автотранспорта, передвижения безмоторных транспортных средств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w:t>
            </w:r>
            <w:r>
              <w:rPr>
                <w:rFonts w:ascii="Arial" w:cs="Arial" w:eastAsia="Arial" w:hAnsi="Arial"/>
                <w:sz w:val="24"/>
                <w:szCs w:val="24"/>
              </w:rPr>
              <w:t xml:space="preserve">F42.11.2;</w:t>
            </w:r>
            <w:r>
              <w:rPr>
                <w:rFonts w:ascii="Arial" w:cs="Arial" w:eastAsia="Arial" w:hAnsi="Arial"/>
                <w:sz w:val="24"/>
                <w:szCs w:val="24"/>
              </w:rPr>
              <w:t xml:space="preserve">F42.13.1;</w:t>
            </w:r>
            <w:r>
              <w:rPr>
                <w:rFonts w:ascii="Arial" w:cs="Arial" w:eastAsia="Arial" w:hAnsi="Arial"/>
                <w:sz w:val="24"/>
                <w:szCs w:val="24"/>
              </w:rPr>
              <w:t xml:space="preserve">F42.13.2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F42.11.10.200;</w:t>
            </w:r>
            <w:r>
              <w:rPr>
                <w:rFonts w:ascii="Arial" w:cs="Arial" w:eastAsia="Arial" w:hAnsi="Arial"/>
                <w:sz w:val="24"/>
                <w:szCs w:val="24"/>
              </w:rPr>
              <w:t xml:space="preserve">F42.11.20.200;</w:t>
            </w:r>
            <w:r>
              <w:rPr>
                <w:rFonts w:ascii="Arial" w:cs="Arial" w:eastAsia="Arial" w:hAnsi="Arial"/>
                <w:sz w:val="24"/>
                <w:szCs w:val="24"/>
              </w:rPr>
              <w:t xml:space="preserve">F42.13.10.200;</w:t>
            </w:r>
            <w:r>
              <w:rPr>
                <w:rFonts w:ascii="Arial" w:cs="Arial" w:eastAsia="Arial" w:hAnsi="Arial"/>
                <w:sz w:val="24"/>
                <w:szCs w:val="24"/>
              </w:rPr>
              <w:t xml:space="preserve">F42.13.20.200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выделенной инфраструктуре</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выделенной дорожной инфраструктуры,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 и пр. услуги, необходимые для составления строительной, конструкторской и проектной документации для строительства и введения в эксплуатацию парковок для велосипедов и микроэлектротранспорта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парковок для велосипедов и микроэлектротранспорта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парковок для велосипедов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F41.10;</w:t>
            </w:r>
            <w:r>
              <w:rPr>
                <w:rFonts w:ascii="Arial" w:cs="Arial" w:eastAsia="Arial" w:hAnsi="Arial"/>
                <w:sz w:val="24"/>
                <w:szCs w:val="24"/>
              </w:rPr>
              <w:t xml:space="preserve">F41.20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F41.00.20.200;</w:t>
            </w:r>
            <w:r>
              <w:rPr>
                <w:rFonts w:ascii="Arial" w:cs="Arial" w:eastAsia="Arial" w:hAnsi="Arial"/>
                <w:sz w:val="24"/>
                <w:szCs w:val="24"/>
              </w:rPr>
              <w:t xml:space="preserve">F41.20.20.200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парковок для велосипедов и микроэлектротранспорта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парковок,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Рекреационная 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велосипедных и многофункциональных дорожек с грунтовым или твердым покрытием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велосипедным и многофункциональным дорожкам. Особое внимание необходимо уделять защите биоразнообразия и мероприятиям по ограничению эрозии почвы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Рекреационная 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велосипедных и многофункциональных дорожек с грунтовым или твердым покрытием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w:t>
            </w:r>
            <w:r>
              <w:rPr>
                <w:rFonts w:ascii="Arial" w:cs="Arial" w:eastAsia="Arial" w:hAnsi="Arial"/>
                <w:sz w:val="24"/>
                <w:szCs w:val="24"/>
              </w:rPr>
              <w:t xml:space="preserve">F42.11.2;</w:t>
            </w:r>
            <w:r>
              <w:rPr>
                <w:rFonts w:ascii="Arial" w:cs="Arial" w:eastAsia="Arial" w:hAnsi="Arial"/>
                <w:sz w:val="24"/>
                <w:szCs w:val="24"/>
              </w:rPr>
              <w:t xml:space="preserve">F42.13.1;</w:t>
            </w:r>
            <w:r>
              <w:rPr>
                <w:rFonts w:ascii="Arial" w:cs="Arial" w:eastAsia="Arial" w:hAnsi="Arial"/>
                <w:sz w:val="24"/>
                <w:szCs w:val="24"/>
              </w:rPr>
              <w:t xml:space="preserve">F42.13.2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F42.11.10.400;</w:t>
            </w:r>
            <w:r>
              <w:rPr>
                <w:rFonts w:ascii="Arial" w:cs="Arial" w:eastAsia="Arial" w:hAnsi="Arial"/>
                <w:sz w:val="24"/>
                <w:szCs w:val="24"/>
              </w:rPr>
              <w:t xml:space="preserve">F42.11.20.400;</w:t>
            </w:r>
            <w:r>
              <w:rPr>
                <w:rFonts w:ascii="Arial" w:cs="Arial" w:eastAsia="Arial" w:hAnsi="Arial"/>
                <w:sz w:val="24"/>
                <w:szCs w:val="24"/>
              </w:rPr>
              <w:t xml:space="preserve">F42.13.10.400;</w:t>
            </w:r>
            <w:r>
              <w:rPr>
                <w:rFonts w:ascii="Arial" w:cs="Arial" w:eastAsia="Arial" w:hAnsi="Arial"/>
                <w:sz w:val="24"/>
                <w:szCs w:val="24"/>
              </w:rPr>
              <w:t xml:space="preserve">F42.13.20.400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велосипедным дорожкам. Особое внимание необходимо уделять защите биоразнообразия и мероприятиям по ограничению эрозии почвы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обслуживание вышеопределенной инфраструктуры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H52.21.22;</w:t>
            </w:r>
            <w:r>
              <w:rPr>
                <w:rFonts w:ascii="Arial" w:cs="Arial" w:eastAsia="Arial" w:hAnsi="Arial"/>
                <w:sz w:val="24"/>
                <w:szCs w:val="24"/>
              </w:rPr>
              <w:t xml:space="preserve">H52.21.23;</w:t>
            </w:r>
            <w:r>
              <w:rPr>
                <w:rFonts w:ascii="Arial" w:cs="Arial" w:eastAsia="Arial" w:hAnsi="Arial"/>
                <w:sz w:val="24"/>
                <w:szCs w:val="24"/>
              </w:rPr>
              <w:t xml:space="preserve">H52.21.24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H52.21.22.100;</w:t>
            </w:r>
            <w:r>
              <w:rPr>
                <w:rFonts w:ascii="Arial" w:cs="Arial" w:eastAsia="Arial" w:hAnsi="Arial"/>
                <w:sz w:val="24"/>
                <w:szCs w:val="24"/>
              </w:rPr>
              <w:t xml:space="preserve">H52.21.23.100;</w:t>
            </w:r>
            <w:r>
              <w:rPr>
                <w:rFonts w:ascii="Arial" w:cs="Arial" w:eastAsia="Arial" w:hAnsi="Arial"/>
                <w:sz w:val="24"/>
                <w:szCs w:val="24"/>
              </w:rPr>
              <w:t xml:space="preserve">H52.21.24.100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к инфраструктуре, перечисленной выше по категории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 лигерады, роликовые коньки, самокаты, велоприцепы, скейтборды и прочие транспортные средства и приспособления хотя бы с одним колесом, приводимые в движение исключительно мускульной силой наездника и/или его пассажиров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C30.92.10;</w:t>
            </w:r>
            <w:r>
              <w:rPr>
                <w:rFonts w:ascii="Arial" w:cs="Arial" w:eastAsia="Arial" w:hAnsi="Arial"/>
                <w:sz w:val="24"/>
                <w:szCs w:val="24"/>
              </w:rPr>
              <w:t xml:space="preserve">C30.92.99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C30.92.11;</w:t>
            </w:r>
            <w:r>
              <w:rPr>
                <w:rFonts w:ascii="Arial" w:cs="Arial" w:eastAsia="Arial" w:hAnsi="Arial"/>
                <w:sz w:val="24"/>
                <w:szCs w:val="24"/>
              </w:rPr>
              <w:t xml:space="preserve">C30.92.12;</w:t>
            </w:r>
            <w:r>
              <w:rPr>
                <w:rFonts w:ascii="Arial" w:cs="Arial" w:eastAsia="Arial" w:hAnsi="Arial"/>
                <w:sz w:val="24"/>
                <w:szCs w:val="24"/>
              </w:rPr>
              <w:t xml:space="preserve">C30.92.13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8712;</w:t>
            </w:r>
            <w:r>
              <w:rPr>
                <w:rFonts w:ascii="Arial" w:cs="Arial" w:eastAsia="Arial" w:hAnsi="Arial"/>
                <w:sz w:val="24"/>
                <w:szCs w:val="24"/>
              </w:rPr>
              <w:t xml:space="preserve">9506703000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12;</w:t>
            </w:r>
            <w:r>
              <w:rPr>
                <w:rFonts w:ascii="Arial" w:cs="Arial" w:eastAsia="Arial" w:hAnsi="Arial"/>
                <w:sz w:val="24"/>
                <w:szCs w:val="24"/>
              </w:rPr>
              <w:t xml:space="preserve">95 06 70 30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 стандартам безопасности распространяются только на новые товары. Импорт товаров бывших в употреблении возможен только некоммерческими организациями, которые получают пожертвование от муниципальных структур или других некоммерческих организаций зарубежом, которые могут предоставить подтверждение чистоты происхождения, выданное правоохранительными или другими уполномоченными государственными органами страны, экспортирующими данную партию товаров или же для физических лиц при импорте для постоянного пользования собственного велосипеда, приобретенного за пределами Кыргызской Республики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Запчасти безмоторного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Запчасти для велосипедов, лигерадов, роликовых коньков, самокатов, велоприцепов, скейтбордов и прочих транспортных средств и приспособлений хотя бы с одним колесом, приводимые в движение исключительно мускульной силой наездника и/или его пассажиров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C30.92.30.100;</w:t>
            </w:r>
            <w:r>
              <w:rPr>
                <w:rFonts w:ascii="Arial" w:cs="Arial" w:eastAsia="Arial" w:hAnsi="Arial"/>
                <w:sz w:val="24"/>
                <w:szCs w:val="24"/>
              </w:rPr>
              <w:t xml:space="preserve">C30.92.30.600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C30.92.30.100;</w:t>
            </w:r>
            <w:r>
              <w:rPr>
                <w:rFonts w:ascii="Arial" w:cs="Arial" w:eastAsia="Arial" w:hAnsi="Arial"/>
                <w:sz w:val="24"/>
                <w:szCs w:val="24"/>
              </w:rPr>
              <w:t xml:space="preserve">C30.92.30.600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871491 871499;</w:t>
            </w:r>
            <w:r>
              <w:rPr>
                <w:rFonts w:ascii="Arial" w:cs="Arial" w:eastAsia="Arial" w:hAnsi="Arial"/>
                <w:sz w:val="24"/>
                <w:szCs w:val="24"/>
              </w:rPr>
              <w:t xml:space="preserve">9506709000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14 91 87 14 99;</w:t>
            </w:r>
            <w:r>
              <w:rPr>
                <w:rFonts w:ascii="Arial" w:cs="Arial" w:eastAsia="Arial" w:hAnsi="Arial"/>
                <w:sz w:val="24"/>
                <w:szCs w:val="24"/>
              </w:rPr>
              <w:t xml:space="preserve">95 06 70 90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новые товары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Запчасти безмоторного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Велосипедные покрышки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401150000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40 11 50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импортеры (более 1000 штук в год) или местные производители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импортируемых или производимых покрышек.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уполномоченным органам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новые товары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Микроэлектротранспорт и 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Электровелосипеды, моноколеса, электроскутеры, электроскейтборды и прочие транспортные средства и приспособления хотя бы с одним колесом, приводимые в движение электродвигателем, запитанным от аккумуляторных батареек, которые можно отнести к классу микроэлектротранспорта, электромопеды и электромотоциклы, которые возможно или невозможно классифицировать в категории L1-L7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Регуляции (EU) № 168/2013</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w:t>
            </w:r>
            <w:r>
              <w:rPr>
                <w:rFonts w:ascii="Arial" w:cs="Arial" w:eastAsia="Arial" w:hAnsi="Arial"/>
                <w:sz w:val="24"/>
                <w:szCs w:val="24"/>
              </w:rPr>
              <w:t xml:space="preserve">C30.92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C30.91.13.100;</w:t>
            </w:r>
            <w:r>
              <w:rPr>
                <w:rFonts w:ascii="Arial" w:cs="Arial" w:eastAsia="Arial" w:hAnsi="Arial"/>
                <w:sz w:val="24"/>
                <w:szCs w:val="24"/>
              </w:rPr>
              <w:t xml:space="preserve">C30.92.12;</w:t>
            </w:r>
            <w:r>
              <w:rPr>
                <w:rFonts w:ascii="Arial" w:cs="Arial" w:eastAsia="Arial" w:hAnsi="Arial"/>
                <w:sz w:val="24"/>
                <w:szCs w:val="24"/>
              </w:rPr>
              <w:t xml:space="preserve">C30.92.13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871160;</w:t>
            </w:r>
            <w:r>
              <w:rPr>
                <w:rFonts w:ascii="Arial" w:cs="Arial" w:eastAsia="Arial" w:hAnsi="Arial"/>
                <w:sz w:val="24"/>
                <w:szCs w:val="24"/>
              </w:rPr>
              <w:t xml:space="preserve">9506999000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11 60;</w:t>
            </w:r>
            <w:r>
              <w:rPr>
                <w:rFonts w:ascii="Arial" w:cs="Arial" w:eastAsia="Arial" w:hAnsi="Arial"/>
                <w:sz w:val="24"/>
                <w:szCs w:val="24"/>
              </w:rPr>
              <w:t xml:space="preserve">95 06 99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малых транспортных средств и самоходных приспособлений. 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 Для транспортных средств, которые относятся к категории L1-L7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Регуляции (EU) № 168/2013 - соответствие всем релевантным стандартам и регламентам ЕЕС или ЕС для указанной категории транспортного средства. Для электрических цепей всех товаров в категории. Соответствие техническим стандартам, позволяющим наносить маркировку СЕ или сертификация по какому-либо из стандартов EN, UL, СSA, BSI, EAC, IEC, покрывающим аккумуляторную сборку, контроллер, проводку и пр.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 б/у изделий допускается только для транспортных средств в категориях L1-L7. 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шлемы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 и мотошлемы для защиты водителей и пассажиров транспортных средств в категориях, перечисленных выше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C32.99.11.510;</w:t>
            </w:r>
            <w:r>
              <w:rPr>
                <w:rFonts w:ascii="Arial" w:cs="Arial" w:eastAsia="Arial" w:hAnsi="Arial"/>
                <w:sz w:val="24"/>
                <w:szCs w:val="24"/>
              </w:rPr>
              <w:t xml:space="preserve">C32.99.11.520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65 06 10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новые товары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безмоторным транспортом и его запчастями и микроэлектротранспортом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G46.49.33.000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G46.49.34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электромопедами и электромотоциклами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G45.40.40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безмоторным транспортом и его запчастями и микроэлектротранспортом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G47.64.10.100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G47.63.03;</w:t>
            </w:r>
            <w:r>
              <w:rPr>
                <w:rFonts w:ascii="Arial" w:cs="Arial" w:eastAsia="Arial" w:hAnsi="Arial"/>
                <w:sz w:val="24"/>
                <w:szCs w:val="24"/>
              </w:rPr>
              <w:t xml:space="preserve">G47.69.00.100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электромопедами и электромотоциклами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G47.83.00.100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безмоторного транспорта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S95.29.12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T95.29.02;</w:t>
            </w:r>
            <w:r>
              <w:rPr>
                <w:rFonts w:ascii="Arial" w:cs="Arial" w:eastAsia="Arial" w:hAnsi="Arial"/>
                <w:sz w:val="24"/>
                <w:szCs w:val="24"/>
              </w:rPr>
              <w:t xml:space="preserve">T95.29.09</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безмоторному транспорту и микроэлектротранспорту</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электромопедов и электромотоциклов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электромопедам и электромотоциклам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безмоторного транспорта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O77.12.02.100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если действительные суммарные операционные выбросы (в охватах 1 и 2) меньше 30 грамм СО2е/км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электромопедов и электромотоциклов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O77.11.01.100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если действительные суммарные операционные выбросы (в охватах 1 и 2) меньше 40 грамм СО2е/км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 категории М1 или M1g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М1 в соответствии с Регуляцией (EU) 2018/858</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C29.10.24.000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8703800002</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87 03 80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электромобилями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G45.11.11;</w:t>
            </w:r>
            <w:r>
              <w:rPr>
                <w:rFonts w:ascii="Arial" w:cs="Arial" w:eastAsia="Arial" w:hAnsi="Arial"/>
                <w:sz w:val="24"/>
                <w:szCs w:val="24"/>
              </w:rPr>
              <w:t xml:space="preserve">G45.11.12;</w:t>
            </w:r>
            <w:r>
              <w:rPr>
                <w:rFonts w:ascii="Arial" w:cs="Arial" w:eastAsia="Arial" w:hAnsi="Arial"/>
                <w:sz w:val="24"/>
                <w:szCs w:val="24"/>
              </w:rPr>
              <w:t xml:space="preserve">G41.11.4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электромобилями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G45.11.21;</w:t>
            </w:r>
            <w:r>
              <w:rPr>
                <w:rFonts w:ascii="Arial" w:cs="Arial" w:eastAsia="Arial" w:hAnsi="Arial"/>
                <w:sz w:val="24"/>
                <w:szCs w:val="24"/>
              </w:rPr>
              <w:t xml:space="preserve">G45.11.22;</w:t>
            </w:r>
            <w:r>
              <w:rPr>
                <w:rFonts w:ascii="Arial" w:cs="Arial" w:eastAsia="Arial" w:hAnsi="Arial"/>
                <w:sz w:val="24"/>
                <w:szCs w:val="24"/>
              </w:rPr>
              <w:t xml:space="preserve">G45.11.3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G47.81.1x.100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электромобилей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электромобилей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общественных зарядных станций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общественной инфраструктуры для зарядки электромобилей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 зарядных станций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обслуживание общественных зарядных станций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к общественным зарядным станциям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Зарядные станции для 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C27.11.50.330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C27.11.50.330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8504405500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85 04 40 60 90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зарядными станциями для 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G46.83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C46.69.12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зарядными станциями для 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Коммерческий транспорт</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 категории M2, M2g, N1, N1g, N2 и N2g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M2, N1 и N2 в соответствии с Регуляцией (EU) 2018/858</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C29.10.30;</w:t>
            </w:r>
            <w:r>
              <w:rPr>
                <w:rFonts w:ascii="Arial" w:cs="Arial" w:eastAsia="Arial" w:hAnsi="Arial"/>
                <w:sz w:val="24"/>
                <w:szCs w:val="24"/>
              </w:rPr>
              <w:t xml:space="preserve">C29.10.41.100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C29.10.30.100;</w:t>
            </w:r>
            <w:r>
              <w:rPr>
                <w:rFonts w:ascii="Arial" w:cs="Arial" w:eastAsia="Arial" w:hAnsi="Arial"/>
                <w:sz w:val="24"/>
                <w:szCs w:val="24"/>
              </w:rPr>
              <w:t xml:space="preserve">C29.10.42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8702400001;</w:t>
            </w:r>
            <w:r>
              <w:rPr>
                <w:rFonts w:ascii="Arial" w:cs="Arial" w:eastAsia="Arial" w:hAnsi="Arial"/>
                <w:sz w:val="24"/>
                <w:szCs w:val="24"/>
              </w:rPr>
              <w:t xml:space="preserve">8703800009;</w:t>
            </w:r>
            <w:r>
              <w:rPr>
                <w:rFonts w:ascii="Arial" w:cs="Arial" w:eastAsia="Arial" w:hAnsi="Arial"/>
                <w:sz w:val="24"/>
                <w:szCs w:val="24"/>
              </w:rPr>
              <w:t xml:space="preserve">8704600000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02 40;</w:t>
            </w:r>
            <w:r>
              <w:rPr>
                <w:rFonts w:ascii="Arial" w:cs="Arial" w:eastAsia="Arial" w:hAnsi="Arial"/>
                <w:sz w:val="24"/>
                <w:szCs w:val="24"/>
              </w:rPr>
              <w:t xml:space="preserve">87 03 80;</w:t>
            </w:r>
            <w:r>
              <w:rPr>
                <w:rFonts w:ascii="Arial" w:cs="Arial" w:eastAsia="Arial" w:hAnsi="Arial"/>
                <w:sz w:val="24"/>
                <w:szCs w:val="24"/>
              </w:rPr>
              <w:t xml:space="preserve">87 04 60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электромобилями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G46.71.12.100;</w:t>
            </w:r>
            <w:r>
              <w:rPr>
                <w:rFonts w:ascii="Arial" w:cs="Arial" w:eastAsia="Arial" w:hAnsi="Arial"/>
                <w:sz w:val="24"/>
                <w:szCs w:val="24"/>
              </w:rPr>
              <w:t xml:space="preserve">G46.71.21.100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продажа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электромобилями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G47.81.90.100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электромобилей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электромобилей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r>
              <w:rPr>
                <w:rFonts w:ascii="Arial" w:cs="Arial" w:eastAsia="Arial" w:hAnsi="Arial"/>
                <w:sz w:val="24"/>
                <w:szCs w:val="24"/>
              </w:rPr>
              <w:t xml:space="preserve">N77.12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r>
              <w:rPr>
                <w:rFonts w:ascii="Arial" w:cs="Arial" w:eastAsia="Arial" w:hAnsi="Arial"/>
                <w:sz w:val="24"/>
                <w:szCs w:val="24"/>
              </w:rPr>
              <w:t xml:space="preserve">N77.12.11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 категории M3, M3g, N3 и N3g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M3 и N3 в соответствии с Регуляцией (EU) 2018/858</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C29.10.30;</w:t>
            </w:r>
            <w:r>
              <w:rPr>
                <w:rFonts w:ascii="Arial" w:cs="Arial" w:eastAsia="Arial" w:hAnsi="Arial"/>
                <w:sz w:val="24"/>
                <w:szCs w:val="24"/>
              </w:rPr>
              <w:t xml:space="preserve">C29.10.41.300;</w:t>
            </w:r>
            <w:r>
              <w:rPr>
                <w:rFonts w:ascii="Arial" w:cs="Arial" w:eastAsia="Arial" w:hAnsi="Arial"/>
                <w:sz w:val="24"/>
                <w:szCs w:val="24"/>
              </w:rPr>
              <w:t xml:space="preserve">C29.10.41.400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C29.10.45;</w:t>
            </w:r>
            <w:r>
              <w:rPr>
                <w:rFonts w:ascii="Arial" w:cs="Arial" w:eastAsia="Arial" w:hAnsi="Arial"/>
                <w:sz w:val="24"/>
                <w:szCs w:val="24"/>
              </w:rPr>
              <w:t xml:space="preserve">C29.10.50.100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8704600000;</w:t>
            </w:r>
            <w:r>
              <w:rPr>
                <w:rFonts w:ascii="Arial" w:cs="Arial" w:eastAsia="Arial" w:hAnsi="Arial"/>
                <w:sz w:val="24"/>
                <w:szCs w:val="24"/>
              </w:rPr>
              <w:t xml:space="preserve">8702400002;</w:t>
            </w:r>
            <w:r>
              <w:rPr>
                <w:rFonts w:ascii="Arial" w:cs="Arial" w:eastAsia="Arial" w:hAnsi="Arial"/>
                <w:sz w:val="24"/>
                <w:szCs w:val="24"/>
              </w:rPr>
              <w:t xml:space="preserve">8705</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02 40;</w:t>
            </w:r>
            <w:r>
              <w:rPr>
                <w:rFonts w:ascii="Arial" w:cs="Arial" w:eastAsia="Arial" w:hAnsi="Arial"/>
                <w:sz w:val="24"/>
                <w:szCs w:val="24"/>
              </w:rPr>
              <w:t xml:space="preserve">87 04 60;</w:t>
            </w:r>
            <w:r>
              <w:rPr>
                <w:rFonts w:ascii="Arial" w:cs="Arial" w:eastAsia="Arial" w:hAnsi="Arial"/>
                <w:sz w:val="24"/>
                <w:szCs w:val="24"/>
              </w:rPr>
              <w:t xml:space="preserve">87 05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электромобилями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G46.71.12.100;</w:t>
            </w:r>
            <w:r>
              <w:rPr>
                <w:rFonts w:ascii="Arial" w:cs="Arial" w:eastAsia="Arial" w:hAnsi="Arial"/>
                <w:sz w:val="24"/>
                <w:szCs w:val="24"/>
              </w:rPr>
              <w:t xml:space="preserve">G46.71.21.100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электромобилями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G47.81.90.200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электромобилей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электромобилей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транспорт</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линейной железнодорожной инфраструктуры, зданий и сооружений, необходимых для предоставления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F41.10;</w:t>
            </w: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F41.10.10;</w:t>
            </w: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инфраструктуре для предоставления услуг перевозки пассажиров на транспортных средствах, получающих энергию от электросетей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линейной железнодорожной инфраструктуры, зданий и сооружений, необходимых для предоставления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r>
              <w:rPr>
                <w:rFonts w:ascii="Arial" w:cs="Arial" w:eastAsia="Arial" w:hAnsi="Arial"/>
                <w:sz w:val="24"/>
                <w:szCs w:val="24"/>
              </w:rPr>
              <w:t xml:space="preserve">F41.20;</w:t>
            </w:r>
            <w:r>
              <w:rPr>
                <w:rFonts w:ascii="Arial" w:cs="Arial" w:eastAsia="Arial" w:hAnsi="Arial"/>
                <w:sz w:val="24"/>
                <w:szCs w:val="24"/>
              </w:rPr>
              <w:t xml:space="preserve">F42.12;</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r>
              <w:rPr>
                <w:rFonts w:ascii="Arial" w:cs="Arial" w:eastAsia="Arial" w:hAnsi="Arial"/>
                <w:sz w:val="24"/>
                <w:szCs w:val="24"/>
              </w:rPr>
              <w:t xml:space="preserve">F41.20;</w:t>
            </w:r>
            <w:r>
              <w:rPr>
                <w:rFonts w:ascii="Arial" w:cs="Arial" w:eastAsia="Arial" w:hAnsi="Arial"/>
                <w:sz w:val="24"/>
                <w:szCs w:val="24"/>
              </w:rPr>
              <w:t xml:space="preserve">F42.11;</w:t>
            </w:r>
            <w:r>
              <w:rPr>
                <w:rFonts w:ascii="Arial" w:cs="Arial" w:eastAsia="Arial" w:hAnsi="Arial"/>
                <w:sz w:val="24"/>
                <w:szCs w:val="24"/>
              </w:rPr>
              <w:t xml:space="preserve">F42.12;</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F41.00.20.200;</w:t>
            </w:r>
            <w:r>
              <w:rPr>
                <w:rFonts w:ascii="Arial" w:cs="Arial" w:eastAsia="Arial" w:hAnsi="Arial"/>
                <w:sz w:val="24"/>
                <w:szCs w:val="24"/>
              </w:rPr>
              <w:t xml:space="preserve">F41.10.10.000;</w:t>
            </w:r>
            <w:r>
              <w:rPr>
                <w:rFonts w:ascii="Arial" w:cs="Arial" w:eastAsia="Arial" w:hAnsi="Arial"/>
                <w:sz w:val="24"/>
                <w:szCs w:val="24"/>
              </w:rPr>
              <w:t xml:space="preserve">F41.20.20.200;</w:t>
            </w:r>
            <w:r>
              <w:rPr>
                <w:rFonts w:ascii="Arial" w:cs="Arial" w:eastAsia="Arial" w:hAnsi="Arial"/>
                <w:sz w:val="24"/>
                <w:szCs w:val="24"/>
              </w:rPr>
              <w:t xml:space="preserve">F42.12.10;</w:t>
            </w:r>
            <w:r>
              <w:rPr>
                <w:rFonts w:ascii="Arial" w:cs="Arial" w:eastAsia="Arial" w:hAnsi="Arial"/>
                <w:sz w:val="24"/>
                <w:szCs w:val="24"/>
              </w:rPr>
              <w:t xml:space="preserve">F42.12.20;</w:t>
            </w:r>
            <w:r>
              <w:rPr>
                <w:rFonts w:ascii="Arial" w:cs="Arial" w:eastAsia="Arial" w:hAnsi="Arial"/>
                <w:sz w:val="24"/>
                <w:szCs w:val="24"/>
              </w:rPr>
              <w:t xml:space="preserve">F42.13.10;</w:t>
            </w:r>
            <w:r>
              <w:rPr>
                <w:rFonts w:ascii="Arial" w:cs="Arial" w:eastAsia="Arial" w:hAnsi="Arial"/>
                <w:sz w:val="24"/>
                <w:szCs w:val="24"/>
              </w:rPr>
              <w:t xml:space="preserve">F42.13.20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F41.00.20.250;</w:t>
            </w:r>
            <w:r>
              <w:rPr>
                <w:rFonts w:ascii="Arial" w:cs="Arial" w:eastAsia="Arial" w:hAnsi="Arial"/>
                <w:sz w:val="24"/>
                <w:szCs w:val="24"/>
              </w:rPr>
              <w:t xml:space="preserve">F41.10.10.100;</w:t>
            </w:r>
            <w:r>
              <w:rPr>
                <w:rFonts w:ascii="Arial" w:cs="Arial" w:eastAsia="Arial" w:hAnsi="Arial"/>
                <w:sz w:val="24"/>
                <w:szCs w:val="24"/>
              </w:rPr>
              <w:t xml:space="preserve">F41.20.20.250;</w:t>
            </w:r>
            <w:r>
              <w:rPr>
                <w:rFonts w:ascii="Arial" w:cs="Arial" w:eastAsia="Arial" w:hAnsi="Arial"/>
                <w:sz w:val="24"/>
                <w:szCs w:val="24"/>
              </w:rPr>
              <w:t xml:space="preserve">F42.12.10.100;</w:t>
            </w:r>
            <w:r>
              <w:rPr>
                <w:rFonts w:ascii="Arial" w:cs="Arial" w:eastAsia="Arial" w:hAnsi="Arial"/>
                <w:sz w:val="24"/>
                <w:szCs w:val="24"/>
              </w:rPr>
              <w:t xml:space="preserve">F42.12.20.100;</w:t>
            </w:r>
            <w:r>
              <w:rPr>
                <w:rFonts w:ascii="Arial" w:cs="Arial" w:eastAsia="Arial" w:hAnsi="Arial"/>
                <w:sz w:val="24"/>
                <w:szCs w:val="24"/>
              </w:rPr>
              <w:t xml:space="preserve">F42.13.10.500;</w:t>
            </w:r>
            <w:r>
              <w:rPr>
                <w:rFonts w:ascii="Arial" w:cs="Arial" w:eastAsia="Arial" w:hAnsi="Arial"/>
                <w:sz w:val="24"/>
                <w:szCs w:val="24"/>
              </w:rPr>
              <w:t xml:space="preserve">F42.13.20.500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инфраструктуре для предоставления услуг перевозки пассажиров на транспортных средствах, получающих энергию от электросетей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выделенной дорожной инфраструктуры,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обслуживание линейной железнодорожной инфраструктуры, зданий и сооружений, необходимых для предоставления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H52.21.19.100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инфраструктуре для предоставления услуг перевозки пассажиров на транспортных средствах, получающих энергию от электросетей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транспортных услуг получающих энергию от электросетей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H49.10;</w:t>
            </w:r>
            <w:r>
              <w:rPr>
                <w:rFonts w:ascii="Arial" w:cs="Arial" w:eastAsia="Arial" w:hAnsi="Arial"/>
                <w:sz w:val="24"/>
                <w:szCs w:val="24"/>
              </w:rPr>
              <w:t xml:space="preserve">H49.20;</w:t>
            </w:r>
            <w:r>
              <w:rPr>
                <w:rFonts w:ascii="Arial" w:cs="Arial" w:eastAsia="Arial" w:hAnsi="Arial"/>
                <w:sz w:val="24"/>
                <w:szCs w:val="24"/>
              </w:rPr>
              <w:t xml:space="preserve">H49.31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w:t>
            </w:r>
            <w:r>
              <w:rPr>
                <w:rFonts w:ascii="Arial" w:cs="Arial" w:eastAsia="Arial" w:hAnsi="Arial"/>
                <w:sz w:val="24"/>
                <w:szCs w:val="24"/>
              </w:rPr>
              <w:t xml:space="preserve">H49.20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H49.10.1;</w:t>
            </w:r>
            <w:r>
              <w:rPr>
                <w:rFonts w:ascii="Arial" w:cs="Arial" w:eastAsia="Arial" w:hAnsi="Arial"/>
                <w:sz w:val="24"/>
                <w:szCs w:val="24"/>
              </w:rPr>
              <w:t xml:space="preserve">H49.20.1;</w:t>
            </w:r>
            <w:r>
              <w:rPr>
                <w:rFonts w:ascii="Arial" w:cs="Arial" w:eastAsia="Arial" w:hAnsi="Arial"/>
                <w:sz w:val="24"/>
                <w:szCs w:val="24"/>
              </w:rPr>
              <w:t xml:space="preserve">H49.31.1;</w:t>
            </w:r>
            <w:r>
              <w:rPr>
                <w:rFonts w:ascii="Arial" w:cs="Arial" w:eastAsia="Arial" w:hAnsi="Arial"/>
                <w:sz w:val="24"/>
                <w:szCs w:val="24"/>
              </w:rPr>
              <w:t xml:space="preserve">H49.31.2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H49.11.00.100;</w:t>
            </w:r>
            <w:r>
              <w:rPr>
                <w:rFonts w:ascii="Arial" w:cs="Arial" w:eastAsia="Arial" w:hAnsi="Arial"/>
                <w:sz w:val="24"/>
                <w:szCs w:val="24"/>
              </w:rPr>
              <w:t xml:space="preserve">H49.12.00.100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железнодорожный транспорт или вагоны, ведомые электрифицированным железнодорожным транспортом для перевозки пассажиров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C30.20.11;</w:t>
            </w:r>
            <w:r>
              <w:rPr>
                <w:rFonts w:ascii="Arial" w:cs="Arial" w:eastAsia="Arial" w:hAnsi="Arial"/>
                <w:sz w:val="24"/>
                <w:szCs w:val="24"/>
              </w:rPr>
              <w:t xml:space="preserve">C30.20.2;</w:t>
            </w:r>
            <w:r>
              <w:rPr>
                <w:rFonts w:ascii="Arial" w:cs="Arial" w:eastAsia="Arial" w:hAnsi="Arial"/>
                <w:sz w:val="24"/>
                <w:szCs w:val="24"/>
              </w:rPr>
              <w:t xml:space="preserve">C30.20.3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C30.20.11;</w:t>
            </w:r>
            <w:r>
              <w:rPr>
                <w:rFonts w:ascii="Arial" w:cs="Arial" w:eastAsia="Arial" w:hAnsi="Arial"/>
                <w:sz w:val="24"/>
                <w:szCs w:val="24"/>
              </w:rPr>
              <w:t xml:space="preserve">C30.20.20.100;</w:t>
            </w:r>
            <w:r>
              <w:rPr>
                <w:rFonts w:ascii="Arial" w:cs="Arial" w:eastAsia="Arial" w:hAnsi="Arial"/>
                <w:sz w:val="24"/>
                <w:szCs w:val="24"/>
              </w:rPr>
              <w:t xml:space="preserve">C30.20.3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8603;</w:t>
            </w:r>
            <w:r>
              <w:rPr>
                <w:rFonts w:ascii="Arial" w:cs="Arial" w:eastAsia="Arial" w:hAnsi="Arial"/>
                <w:sz w:val="24"/>
                <w:szCs w:val="24"/>
              </w:rPr>
              <w:t xml:space="preserve">8605</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03;</w:t>
            </w:r>
            <w:r>
              <w:rPr>
                <w:rFonts w:ascii="Arial" w:cs="Arial" w:eastAsia="Arial" w:hAnsi="Arial"/>
                <w:sz w:val="24"/>
                <w:szCs w:val="24"/>
              </w:rPr>
              <w:t xml:space="preserve">86 05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инженеров, проектировщиков, мастеров и прочих специалистов для профессиональной деятельности в сферах устойчивого 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 относящаяся исключительно к вышеприведенным категориям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Энергоэффективность</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Энергоэффективность объектов недвижимости</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сертифицированных зеленых зданий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сертифицированных зеленых зданий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стоимостью выше 45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энергопотребления существующих зданий, квартир и конструкций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Ремонтные и прочие строительные проекты, которые позволяют сократить энергопотребление существующих зданий, квартир и строений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соответствия критерию владелец или арендатор объекта недвижимости должен продемонстрировать постфактум снижение потребления хотя бы одного энергоносителя минимум на 20% по сравнению с потреблением до произведения работ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ремонта, которые не входят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из автоклавного газобетона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C23.61.11.300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C23.61.11.350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6810111000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68 10 11 10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испытаний, подтверждающие коэффициент теплопередачи не более 0,15 Вт/мК. Документы, подтверждающие отсутствие асбестовых волокон</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Изоляционные плиты и рулоны из негорючих материалов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C23.99.19.300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C23.99.19.300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6806100008</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68 06 10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подтверждающие отсутствие асбестовых волокон</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Низкоэмиссионное стекло</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C23.11.11.100;</w:t>
            </w:r>
            <w:r>
              <w:rPr>
                <w:rFonts w:ascii="Arial" w:cs="Arial" w:eastAsia="Arial" w:hAnsi="Arial"/>
                <w:sz w:val="24"/>
                <w:szCs w:val="24"/>
              </w:rPr>
              <w:t xml:space="preserve">C23.11.12.100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70 03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ГОСТ 31364-2014 или действующей версии EN 1096</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Оконные и дверные профили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3925200000;</w:t>
            </w:r>
            <w:r>
              <w:rPr>
                <w:rFonts w:ascii="Arial" w:cs="Arial" w:eastAsia="Arial" w:hAnsi="Arial"/>
                <w:sz w:val="24"/>
                <w:szCs w:val="24"/>
              </w:rPr>
              <w:t xml:space="preserve">4418190000;</w:t>
            </w:r>
            <w:r>
              <w:rPr>
                <w:rFonts w:ascii="Arial" w:cs="Arial" w:eastAsia="Arial" w:hAnsi="Arial"/>
                <w:sz w:val="24"/>
                <w:szCs w:val="24"/>
              </w:rPr>
              <w:t xml:space="preserve">7610100000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25 20;</w:t>
            </w:r>
            <w:r>
              <w:rPr>
                <w:rFonts w:ascii="Arial" w:cs="Arial" w:eastAsia="Arial" w:hAnsi="Arial"/>
                <w:sz w:val="24"/>
                <w:szCs w:val="24"/>
              </w:rPr>
              <w:t xml:space="preserve">44 18 19;</w:t>
            </w:r>
            <w:r>
              <w:rPr>
                <w:rFonts w:ascii="Arial" w:cs="Arial" w:eastAsia="Arial" w:hAnsi="Arial"/>
                <w:sz w:val="24"/>
                <w:szCs w:val="24"/>
              </w:rPr>
              <w:t xml:space="preserve">44 18 29;</w:t>
            </w:r>
            <w:r>
              <w:rPr>
                <w:rFonts w:ascii="Arial" w:cs="Arial" w:eastAsia="Arial" w:hAnsi="Arial"/>
                <w:sz w:val="24"/>
                <w:szCs w:val="24"/>
              </w:rPr>
              <w:t xml:space="preserve">76 10 10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испытаний, подтверждающие коэффициент сопротивления теплопередаче не менее 1 м2С/Вт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Оконные и дверные блоки (готовые к монтажу на объекте)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3925200000;</w:t>
            </w:r>
            <w:r>
              <w:rPr>
                <w:rFonts w:ascii="Arial" w:cs="Arial" w:eastAsia="Arial" w:hAnsi="Arial"/>
                <w:sz w:val="24"/>
                <w:szCs w:val="24"/>
              </w:rPr>
              <w:t xml:space="preserve">4418190000;</w:t>
            </w:r>
            <w:r>
              <w:rPr>
                <w:rFonts w:ascii="Arial" w:cs="Arial" w:eastAsia="Arial" w:hAnsi="Arial"/>
                <w:sz w:val="24"/>
                <w:szCs w:val="24"/>
              </w:rPr>
              <w:t xml:space="preserve">7610100000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25 20;</w:t>
            </w:r>
            <w:r>
              <w:rPr>
                <w:rFonts w:ascii="Arial" w:cs="Arial" w:eastAsia="Arial" w:hAnsi="Arial"/>
                <w:sz w:val="24"/>
                <w:szCs w:val="24"/>
              </w:rPr>
              <w:t xml:space="preserve">44 18 19;</w:t>
            </w:r>
            <w:r>
              <w:rPr>
                <w:rFonts w:ascii="Arial" w:cs="Arial" w:eastAsia="Arial" w:hAnsi="Arial"/>
                <w:sz w:val="24"/>
                <w:szCs w:val="24"/>
              </w:rPr>
              <w:t xml:space="preserve">44 18 29;</w:t>
            </w:r>
            <w:r>
              <w:rPr>
                <w:rFonts w:ascii="Arial" w:cs="Arial" w:eastAsia="Arial" w:hAnsi="Arial"/>
                <w:sz w:val="24"/>
                <w:szCs w:val="24"/>
              </w:rPr>
              <w:t xml:space="preserve">76 10 10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ГОСТ 23166-2021 или действующей версии EN 14351. Коэффициент сопротивления теплопередаче не менее 1 м2С/Вт. Использование стеклопакета с низкоэмиссионным стеклом и возможностью подбора отражающего действия стекла в зависимости от расположения окна или двери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тепловые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C26.51.52.800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C26.51.52.850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9026802000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90 26 80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EN 1434 2023 или аналогу ГОСТ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регулируемые для отопительных систем термостатические с термостатической головкой или без нее. Термостатические головки с жидкостным или газообразным рабочим телом или электронные термостатические головки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C26.51.70.190;</w:t>
            </w:r>
            <w:r>
              <w:rPr>
                <w:rFonts w:ascii="Arial" w:cs="Arial" w:eastAsia="Arial" w:hAnsi="Arial"/>
                <w:sz w:val="24"/>
                <w:szCs w:val="24"/>
              </w:rPr>
              <w:t xml:space="preserve">C28.14.12.530;</w:t>
            </w:r>
            <w:r>
              <w:rPr>
                <w:rFonts w:ascii="Arial" w:cs="Arial" w:eastAsia="Arial" w:hAnsi="Arial"/>
                <w:sz w:val="24"/>
                <w:szCs w:val="24"/>
              </w:rPr>
              <w:t xml:space="preserve">C28.14.13.130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C26.51.70.130;</w:t>
            </w:r>
            <w:r>
              <w:rPr>
                <w:rFonts w:ascii="Arial" w:cs="Arial" w:eastAsia="Arial" w:hAnsi="Arial"/>
                <w:sz w:val="24"/>
                <w:szCs w:val="24"/>
              </w:rPr>
              <w:t xml:space="preserve">C28.14.12.530;</w:t>
            </w:r>
            <w:r>
              <w:rPr>
                <w:rFonts w:ascii="Arial" w:cs="Arial" w:eastAsia="Arial" w:hAnsi="Arial"/>
                <w:sz w:val="24"/>
                <w:szCs w:val="24"/>
              </w:rPr>
              <w:t xml:space="preserve">C28.14.13.130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8481803100;</w:t>
            </w:r>
            <w:r>
              <w:rPr>
                <w:rFonts w:ascii="Arial" w:cs="Arial" w:eastAsia="Arial" w:hAnsi="Arial"/>
                <w:sz w:val="24"/>
                <w:szCs w:val="24"/>
              </w:rPr>
              <w:t xml:space="preserve">9032108900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81 80 31;</w:t>
            </w:r>
            <w:r>
              <w:rPr>
                <w:rFonts w:ascii="Arial" w:cs="Arial" w:eastAsia="Arial" w:hAnsi="Arial"/>
                <w:sz w:val="24"/>
                <w:szCs w:val="24"/>
              </w:rPr>
              <w:t xml:space="preserve">90 32 10 80 90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ГОСТ 30815-2019 или действующей версии EN 215 или сертифицированных по схеме Keymark. Для электронных термостатических головок, наличие документации, удовлетворяющей требованиям RoHS в соответствии с Директивой 2011/65/EU. Если головки или контроллеры подключаются к сети с напряжением выше 120 В - соответствие техническим стандартам, позволяющим наносить маркировку СЕ или сертификация по какому-либо из стандартов EN, UL, СSA, BSI, ГОСТ, EAC, IEC, покрывающим безопасность, функционал и точность измерительной схемы головки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Термостаты электронные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9032102000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90 32 10 20 90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Контроллеры "Умный дом"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r>
              <w:rPr>
                <w:rFonts w:ascii="Arial" w:cs="Arial" w:eastAsia="Arial" w:hAnsi="Arial"/>
                <w:sz w:val="24"/>
                <w:szCs w:val="24"/>
              </w:rPr>
              <w:t xml:space="preserve">C27.12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r>
              <w:rPr>
                <w:rFonts w:ascii="Arial" w:cs="Arial" w:eastAsia="Arial" w:hAnsi="Arial"/>
                <w:sz w:val="24"/>
                <w:szCs w:val="24"/>
              </w:rPr>
              <w:t xml:space="preserve">C27.12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C26.51.70.900;</w:t>
            </w:r>
            <w:r>
              <w:rPr>
                <w:rFonts w:ascii="Arial" w:cs="Arial" w:eastAsia="Arial" w:hAnsi="Arial"/>
                <w:sz w:val="24"/>
                <w:szCs w:val="24"/>
              </w:rPr>
              <w:t xml:space="preserve">C27.12.31.300;</w:t>
            </w:r>
            <w:r>
              <w:rPr>
                <w:rFonts w:ascii="Arial" w:cs="Arial" w:eastAsia="Arial" w:hAnsi="Arial"/>
                <w:sz w:val="24"/>
                <w:szCs w:val="24"/>
              </w:rPr>
              <w:t xml:space="preserve">C27.12.31.500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C26.51.70.950;</w:t>
            </w:r>
            <w:r>
              <w:rPr>
                <w:rFonts w:ascii="Arial" w:cs="Arial" w:eastAsia="Arial" w:hAnsi="Arial"/>
                <w:sz w:val="24"/>
                <w:szCs w:val="24"/>
              </w:rPr>
              <w:t xml:space="preserve">C27.12.31.350;</w:t>
            </w:r>
            <w:r>
              <w:rPr>
                <w:rFonts w:ascii="Arial" w:cs="Arial" w:eastAsia="Arial" w:hAnsi="Arial"/>
                <w:sz w:val="24"/>
                <w:szCs w:val="24"/>
              </w:rPr>
              <w:t xml:space="preserve">C27.12.31.550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853710;</w:t>
            </w:r>
            <w:r>
              <w:rPr>
                <w:rFonts w:ascii="Arial" w:cs="Arial" w:eastAsia="Arial" w:hAnsi="Arial"/>
                <w:sz w:val="24"/>
                <w:szCs w:val="24"/>
              </w:rPr>
              <w:t xml:space="preserve">8543708000;</w:t>
            </w:r>
            <w:r>
              <w:rPr>
                <w:rFonts w:ascii="Arial" w:cs="Arial" w:eastAsia="Arial" w:hAnsi="Arial"/>
                <w:sz w:val="24"/>
                <w:szCs w:val="24"/>
              </w:rPr>
              <w:t xml:space="preserve">9032890000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37 10 10 90;</w:t>
            </w:r>
            <w:r>
              <w:rPr>
                <w:rFonts w:ascii="Arial" w:cs="Arial" w:eastAsia="Arial" w:hAnsi="Arial"/>
                <w:sz w:val="24"/>
                <w:szCs w:val="24"/>
              </w:rPr>
              <w:t xml:space="preserve">85 43 70 90 99;</w:t>
            </w:r>
            <w:r>
              <w:rPr>
                <w:rFonts w:ascii="Arial" w:cs="Arial" w:eastAsia="Arial" w:hAnsi="Arial"/>
                <w:sz w:val="24"/>
                <w:szCs w:val="24"/>
              </w:rPr>
              <w:t xml:space="preserve">90 32 89 00 90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Рекуператоры тепла систем вентиляции, проветриватели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C28.25.14.100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C28.25.14.200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8419500000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84 19 50 80 90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CSA,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Противокоррозионные добавки в теплоноситель систем отопления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C20.59.59.100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3403990000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34 03 99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Химический состав добавки должен быть утвержден в соответствии с требованиями Regulation (EC) No 1907/2006 (REACH)</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света светодиодные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853951;</w:t>
            </w:r>
            <w:r>
              <w:rPr>
                <w:rFonts w:ascii="Arial" w:cs="Arial" w:eastAsia="Arial" w:hAnsi="Arial"/>
                <w:sz w:val="24"/>
                <w:szCs w:val="24"/>
              </w:rPr>
              <w:t xml:space="preserve">853952;</w:t>
            </w:r>
            <w:r>
              <w:rPr>
                <w:rFonts w:ascii="Arial" w:cs="Arial" w:eastAsia="Arial" w:hAnsi="Arial"/>
                <w:sz w:val="24"/>
                <w:szCs w:val="24"/>
              </w:rPr>
              <w:t xml:space="preserve">9405</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39 51;</w:t>
            </w:r>
            <w:r>
              <w:rPr>
                <w:rFonts w:ascii="Arial" w:cs="Arial" w:eastAsia="Arial" w:hAnsi="Arial"/>
                <w:sz w:val="24"/>
                <w:szCs w:val="24"/>
              </w:rPr>
              <w:t xml:space="preserve">85 39 52;</w:t>
            </w:r>
            <w:r>
              <w:rPr>
                <w:rFonts w:ascii="Arial" w:cs="Arial" w:eastAsia="Arial" w:hAnsi="Arial"/>
                <w:sz w:val="24"/>
                <w:szCs w:val="24"/>
              </w:rPr>
              <w:t xml:space="preserve">94 05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цветовой температуры в соответствии с IЕС 60081 или ГОСТ 62612-2019, индекс цветопередачи ИЦ &gt; 9 в соответствии с ГОСТ 62612-2019 или CRI &gt; 90 по СIЕ 13.31995, световая отдача &gt; 135 лм/Вт по ГОСТ 62612-2019 или рейтинг класса "D" и выше + CRI &gt; 90 в соответствии с Regulation (EU) 2019/2015 и Regulation (EU) 2019/2020. Коэффициент смещения источника питания &gt; 0,7 у ламп до 25 вт., и (cos φ) &gt; 0,9 у ламп свыше 25 вт. по 62612-2019.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 для управления электродвигателями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8504408500;</w:t>
            </w:r>
            <w:r>
              <w:rPr>
                <w:rFonts w:ascii="Arial" w:cs="Arial" w:eastAsia="Arial" w:hAnsi="Arial"/>
                <w:sz w:val="24"/>
                <w:szCs w:val="24"/>
              </w:rPr>
              <w:t xml:space="preserve">8504408700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 40 85 90;</w:t>
            </w:r>
            <w:r>
              <w:rPr>
                <w:rFonts w:ascii="Arial" w:cs="Arial" w:eastAsia="Arial" w:hAnsi="Arial"/>
                <w:sz w:val="24"/>
                <w:szCs w:val="24"/>
              </w:rPr>
              <w:t xml:space="preserve">85 04 40 86 90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 и 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строительными материалами с низкой теплопроводностью или энергосберегающими решениями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w:t>
            </w:r>
            <w:r>
              <w:rPr>
                <w:rFonts w:ascii="Arial" w:cs="Arial" w:eastAsia="Arial" w:hAnsi="Arial"/>
                <w:sz w:val="24"/>
                <w:szCs w:val="24"/>
              </w:rPr>
              <w:t xml:space="preserve">G46.74;</w:t>
            </w:r>
            <w:r>
              <w:rPr>
                <w:rFonts w:ascii="Arial" w:cs="Arial" w:eastAsia="Arial" w:hAnsi="Arial"/>
                <w:sz w:val="24"/>
                <w:szCs w:val="24"/>
              </w:rPr>
              <w:t xml:space="preserve">G46.75;</w:t>
            </w:r>
            <w:r>
              <w:rPr>
                <w:rFonts w:ascii="Arial" w:cs="Arial" w:eastAsia="Arial" w:hAnsi="Arial"/>
                <w:sz w:val="24"/>
                <w:szCs w:val="24"/>
              </w:rPr>
              <w:t xml:space="preserve">G46.90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G46.47;</w:t>
            </w:r>
            <w:r>
              <w:rPr>
                <w:rFonts w:ascii="Arial" w:cs="Arial" w:eastAsia="Arial" w:hAnsi="Arial"/>
                <w:sz w:val="24"/>
                <w:szCs w:val="24"/>
              </w:rPr>
              <w:t xml:space="preserve">G46.84;</w:t>
            </w:r>
            <w:r>
              <w:rPr>
                <w:rFonts w:ascii="Arial" w:cs="Arial" w:eastAsia="Arial" w:hAnsi="Arial"/>
                <w:sz w:val="24"/>
                <w:szCs w:val="24"/>
              </w:rPr>
              <w:t xml:space="preserve">G46.85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G46.73.15;</w:t>
            </w:r>
            <w:r>
              <w:rPr>
                <w:rFonts w:ascii="Arial" w:cs="Arial" w:eastAsia="Arial" w:hAnsi="Arial"/>
                <w:sz w:val="24"/>
                <w:szCs w:val="24"/>
              </w:rPr>
              <w:t xml:space="preserve">G46.73.16;</w:t>
            </w:r>
            <w:r>
              <w:rPr>
                <w:rFonts w:ascii="Arial" w:cs="Arial" w:eastAsia="Arial" w:hAnsi="Arial"/>
                <w:sz w:val="24"/>
                <w:szCs w:val="24"/>
              </w:rPr>
              <w:t xml:space="preserve">G46.74.12;</w:t>
            </w:r>
            <w:r>
              <w:rPr>
                <w:rFonts w:ascii="Arial" w:cs="Arial" w:eastAsia="Arial" w:hAnsi="Arial"/>
                <w:sz w:val="24"/>
                <w:szCs w:val="24"/>
              </w:rPr>
              <w:t xml:space="preserve">G46.75.12;</w:t>
            </w:r>
            <w:r>
              <w:rPr>
                <w:rFonts w:ascii="Arial" w:cs="Arial" w:eastAsia="Arial" w:hAnsi="Arial"/>
                <w:sz w:val="24"/>
                <w:szCs w:val="24"/>
              </w:rPr>
              <w:t xml:space="preserve">G46.90.10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G46.13.02.100;</w:t>
            </w:r>
            <w:r>
              <w:rPr>
                <w:rFonts w:ascii="Arial" w:cs="Arial" w:eastAsia="Arial" w:hAnsi="Arial"/>
                <w:sz w:val="24"/>
                <w:szCs w:val="24"/>
              </w:rPr>
              <w:t xml:space="preserve">G46.14.03.100;</w:t>
            </w:r>
            <w:r>
              <w:rPr>
                <w:rFonts w:ascii="Arial" w:cs="Arial" w:eastAsia="Arial" w:hAnsi="Arial"/>
                <w:sz w:val="24"/>
                <w:szCs w:val="24"/>
              </w:rPr>
              <w:t xml:space="preserve">G46.15.03.100;</w:t>
            </w:r>
            <w:r>
              <w:rPr>
                <w:rFonts w:ascii="Arial" w:cs="Arial" w:eastAsia="Arial" w:hAnsi="Arial"/>
                <w:sz w:val="24"/>
                <w:szCs w:val="24"/>
              </w:rPr>
              <w:t xml:space="preserve">G46.43.03.100;</w:t>
            </w:r>
            <w:r>
              <w:rPr>
                <w:rFonts w:ascii="Arial" w:cs="Arial" w:eastAsia="Arial" w:hAnsi="Arial"/>
                <w:sz w:val="24"/>
                <w:szCs w:val="24"/>
              </w:rPr>
              <w:t xml:space="preserve">G46.43.04.100;</w:t>
            </w:r>
            <w:r>
              <w:rPr>
                <w:rFonts w:ascii="Arial" w:cs="Arial" w:eastAsia="Arial" w:hAnsi="Arial"/>
                <w:sz w:val="24"/>
                <w:szCs w:val="24"/>
              </w:rPr>
              <w:t xml:space="preserve">G46.47.12.100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 и 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строительными материалами с низкой теплопроводностью или энергосберегающими решениями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G47.52.13;</w:t>
            </w:r>
            <w:r>
              <w:rPr>
                <w:rFonts w:ascii="Arial" w:cs="Arial" w:eastAsia="Arial" w:hAnsi="Arial"/>
                <w:sz w:val="24"/>
                <w:szCs w:val="24"/>
              </w:rPr>
              <w:t xml:space="preserve">G47.52.16.900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G47.52.xx.100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 и сокращение энергопотребления существующих зданий, квартир и конструкций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 энергоэффективных решений для зданий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r>
              <w:rPr>
                <w:rFonts w:ascii="Arial" w:cs="Arial" w:eastAsia="Arial" w:hAnsi="Arial"/>
                <w:sz w:val="24"/>
                <w:szCs w:val="24"/>
              </w:rPr>
              <w:t xml:space="preserve">F43.22;</w:t>
            </w:r>
            <w:r>
              <w:rPr>
                <w:rFonts w:ascii="Arial" w:cs="Arial" w:eastAsia="Arial" w:hAnsi="Arial"/>
                <w:sz w:val="24"/>
                <w:szCs w:val="24"/>
              </w:rPr>
              <w:t xml:space="preserve">F43.29.1;</w:t>
            </w:r>
            <w:r>
              <w:rPr>
                <w:rFonts w:ascii="Arial" w:cs="Arial" w:eastAsia="Arial" w:hAnsi="Arial"/>
                <w:sz w:val="24"/>
                <w:szCs w:val="24"/>
              </w:rPr>
              <w:t xml:space="preserve">F43.31;</w:t>
            </w:r>
            <w:r>
              <w:rPr>
                <w:rFonts w:ascii="Arial" w:cs="Arial" w:eastAsia="Arial" w:hAnsi="Arial"/>
                <w:sz w:val="24"/>
                <w:szCs w:val="24"/>
              </w:rPr>
              <w:t xml:space="preserve">F43.34;</w:t>
            </w:r>
            <w:r>
              <w:rPr>
                <w:rFonts w:ascii="Arial" w:cs="Arial" w:eastAsia="Arial" w:hAnsi="Arial"/>
                <w:sz w:val="24"/>
                <w:szCs w:val="24"/>
              </w:rPr>
              <w:t xml:space="preserve">F43.39;</w:t>
            </w:r>
            <w:r>
              <w:rPr>
                <w:rFonts w:ascii="Arial" w:cs="Arial" w:eastAsia="Arial" w:hAnsi="Arial"/>
                <w:sz w:val="24"/>
                <w:szCs w:val="24"/>
              </w:rPr>
              <w:t xml:space="preserve">F43.91;</w:t>
            </w:r>
            <w:r>
              <w:rPr>
                <w:rFonts w:ascii="Arial" w:cs="Arial" w:eastAsia="Arial" w:hAnsi="Arial"/>
                <w:sz w:val="24"/>
                <w:szCs w:val="24"/>
              </w:rPr>
              <w:t xml:space="preserve">F43.99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r>
              <w:rPr>
                <w:rFonts w:ascii="Arial" w:cs="Arial" w:eastAsia="Arial" w:hAnsi="Arial"/>
                <w:sz w:val="24"/>
                <w:szCs w:val="24"/>
              </w:rPr>
              <w:t xml:space="preserve">F43.22;</w:t>
            </w:r>
            <w:r>
              <w:rPr>
                <w:rFonts w:ascii="Arial" w:cs="Arial" w:eastAsia="Arial" w:hAnsi="Arial"/>
                <w:sz w:val="24"/>
                <w:szCs w:val="24"/>
              </w:rPr>
              <w:t xml:space="preserve">F43.23;</w:t>
            </w:r>
            <w:r>
              <w:rPr>
                <w:rFonts w:ascii="Arial" w:cs="Arial" w:eastAsia="Arial" w:hAnsi="Arial"/>
                <w:sz w:val="24"/>
                <w:szCs w:val="24"/>
              </w:rPr>
              <w:t xml:space="preserve">F43.24;</w:t>
            </w:r>
            <w:r>
              <w:rPr>
                <w:rFonts w:ascii="Arial" w:cs="Arial" w:eastAsia="Arial" w:hAnsi="Arial"/>
                <w:sz w:val="24"/>
                <w:szCs w:val="24"/>
              </w:rPr>
              <w:t xml:space="preserve">F43.31;</w:t>
            </w:r>
            <w:r>
              <w:rPr>
                <w:rFonts w:ascii="Arial" w:cs="Arial" w:eastAsia="Arial" w:hAnsi="Arial"/>
                <w:sz w:val="24"/>
                <w:szCs w:val="24"/>
              </w:rPr>
              <w:t xml:space="preserve">F43.34;</w:t>
            </w:r>
            <w:r>
              <w:rPr>
                <w:rFonts w:ascii="Arial" w:cs="Arial" w:eastAsia="Arial" w:hAnsi="Arial"/>
                <w:sz w:val="24"/>
                <w:szCs w:val="24"/>
              </w:rPr>
              <w:t xml:space="preserve">F43.35;</w:t>
            </w:r>
            <w:r>
              <w:rPr>
                <w:rFonts w:ascii="Arial" w:cs="Arial" w:eastAsia="Arial" w:hAnsi="Arial"/>
                <w:sz w:val="24"/>
                <w:szCs w:val="24"/>
              </w:rPr>
              <w:t xml:space="preserve">F43.41;</w:t>
            </w:r>
            <w:r>
              <w:rPr>
                <w:rFonts w:ascii="Arial" w:cs="Arial" w:eastAsia="Arial" w:hAnsi="Arial"/>
                <w:sz w:val="24"/>
                <w:szCs w:val="24"/>
              </w:rPr>
              <w:t xml:space="preserve">F43.91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w:t>
            </w:r>
            <w:r>
              <w:rPr>
                <w:rFonts w:ascii="Arial" w:cs="Arial" w:eastAsia="Arial" w:hAnsi="Arial"/>
                <w:sz w:val="24"/>
                <w:szCs w:val="24"/>
              </w:rPr>
              <w:t xml:space="preserve">F43.22.1;</w:t>
            </w:r>
            <w:r>
              <w:rPr>
                <w:rFonts w:ascii="Arial" w:cs="Arial" w:eastAsia="Arial" w:hAnsi="Arial"/>
                <w:sz w:val="24"/>
                <w:szCs w:val="24"/>
              </w:rPr>
              <w:t xml:space="preserve">F43.29.11.100;</w:t>
            </w:r>
            <w:r>
              <w:rPr>
                <w:rFonts w:ascii="Arial" w:cs="Arial" w:eastAsia="Arial" w:hAnsi="Arial"/>
                <w:sz w:val="24"/>
                <w:szCs w:val="24"/>
              </w:rPr>
              <w:t xml:space="preserve">F43.31.10;</w:t>
            </w:r>
            <w:r>
              <w:rPr>
                <w:rFonts w:ascii="Arial" w:cs="Arial" w:eastAsia="Arial" w:hAnsi="Arial"/>
                <w:sz w:val="24"/>
                <w:szCs w:val="24"/>
              </w:rPr>
              <w:t xml:space="preserve">F43.34.20;</w:t>
            </w:r>
            <w:r>
              <w:rPr>
                <w:rFonts w:ascii="Arial" w:cs="Arial" w:eastAsia="Arial" w:hAnsi="Arial"/>
                <w:sz w:val="24"/>
                <w:szCs w:val="24"/>
              </w:rPr>
              <w:t xml:space="preserve">F43.39.11;</w:t>
            </w:r>
            <w:r>
              <w:rPr>
                <w:rFonts w:ascii="Arial" w:cs="Arial" w:eastAsia="Arial" w:hAnsi="Arial"/>
                <w:sz w:val="24"/>
                <w:szCs w:val="24"/>
              </w:rPr>
              <w:t xml:space="preserve">F43.99.90.900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F43.23.10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энергоэффективным решениям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 и 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окон и дверей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w:t>
            </w:r>
            <w:r>
              <w:rPr>
                <w:rFonts w:ascii="Arial" w:cs="Arial" w:eastAsia="Arial" w:hAnsi="Arial"/>
                <w:sz w:val="24"/>
                <w:szCs w:val="24"/>
              </w:rPr>
              <w:t xml:space="preserve">F43.34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F43.32.10.100;</w:t>
            </w:r>
            <w:r>
              <w:rPr>
                <w:rFonts w:ascii="Arial" w:cs="Arial" w:eastAsia="Arial" w:hAnsi="Arial"/>
                <w:sz w:val="24"/>
                <w:szCs w:val="24"/>
              </w:rPr>
              <w:t xml:space="preserve">F43.34.20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F43.32.xx.100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в соответствии с требованиями ГОСТ 30971-2012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Стиральные машины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845011</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84 50 11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EU eco label или EU energy label класс "С" и выше в соответствии с (EU) 2019/2023 и Regulation (EU) 2019/2014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Посудомоечные машины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8422110000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84 22 11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EU eco label или EU energy label класс "С" и выше в соответствии с (EU) 2019/2022 и Regulation (EU) 2019/2017</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C27.51.25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C27.51.25</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85 16 10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или EU energy label "С" и выше в соответствии с Regulation (EU) № 812/2013</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Сплит системы и прочее климатическое оборудование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84 15 10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или EU energy label класс "А++" и выше, в соответствии с Regulation (EU) № 626/2011. Рабочее тело должно быть на базе органического или синтетического газа(ов) с низким коэффициентом парниковости (менее 800 кг/кг). Газ рабочего тела должен отсутствовать в списке газов, контролируемых Монреальским протоколом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Бытовое холодильное оборудование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841810;</w:t>
            </w:r>
            <w:r>
              <w:rPr>
                <w:rFonts w:ascii="Arial" w:cs="Arial" w:eastAsia="Arial" w:hAnsi="Arial"/>
                <w:sz w:val="24"/>
                <w:szCs w:val="24"/>
              </w:rPr>
              <w:t xml:space="preserve">841821;</w:t>
            </w:r>
            <w:r>
              <w:rPr>
                <w:rFonts w:ascii="Arial" w:cs="Arial" w:eastAsia="Arial" w:hAnsi="Arial"/>
                <w:sz w:val="24"/>
                <w:szCs w:val="24"/>
              </w:rPr>
              <w:t xml:space="preserve">841829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18 10;</w:t>
            </w:r>
            <w:r>
              <w:rPr>
                <w:rFonts w:ascii="Arial" w:cs="Arial" w:eastAsia="Arial" w:hAnsi="Arial"/>
                <w:sz w:val="24"/>
                <w:szCs w:val="24"/>
              </w:rPr>
              <w:t xml:space="preserve">84 18 21;</w:t>
            </w:r>
            <w:r>
              <w:rPr>
                <w:rFonts w:ascii="Arial" w:cs="Arial" w:eastAsia="Arial" w:hAnsi="Arial"/>
                <w:sz w:val="24"/>
                <w:szCs w:val="24"/>
              </w:rPr>
              <w:t xml:space="preserve">84 18 29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EU eco label или EU energy label класс "С" и выше в соответствии с Regulation (EU) 2019/2019 и Regulation (EU) 2019/2016</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Электроника и компьютеры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w:t>
            </w:r>
            <w:r>
              <w:rPr>
                <w:rFonts w:ascii="Arial" w:cs="Arial" w:eastAsia="Arial" w:hAnsi="Arial"/>
                <w:sz w:val="24"/>
                <w:szCs w:val="24"/>
              </w:rPr>
              <w:t xml:space="preserve">C26.40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w:t>
            </w:r>
            <w:r>
              <w:rPr>
                <w:rFonts w:ascii="Arial" w:cs="Arial" w:eastAsia="Arial" w:hAnsi="Arial"/>
                <w:sz w:val="24"/>
                <w:szCs w:val="24"/>
              </w:rPr>
              <w:t xml:space="preserve">C26.40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C26.20.11;</w:t>
            </w:r>
            <w:r>
              <w:rPr>
                <w:rFonts w:ascii="Arial" w:cs="Arial" w:eastAsia="Arial" w:hAnsi="Arial"/>
                <w:sz w:val="24"/>
                <w:szCs w:val="24"/>
              </w:rPr>
              <w:t xml:space="preserve">C26.20.12;</w:t>
            </w:r>
            <w:r>
              <w:rPr>
                <w:rFonts w:ascii="Arial" w:cs="Arial" w:eastAsia="Arial" w:hAnsi="Arial"/>
                <w:sz w:val="24"/>
                <w:szCs w:val="24"/>
              </w:rPr>
              <w:t xml:space="preserve">C26.20.13;</w:t>
            </w:r>
            <w:r>
              <w:rPr>
                <w:rFonts w:ascii="Arial" w:cs="Arial" w:eastAsia="Arial" w:hAnsi="Arial"/>
                <w:sz w:val="24"/>
                <w:szCs w:val="24"/>
              </w:rPr>
              <w:t xml:space="preserve">C26.20.14;</w:t>
            </w:r>
            <w:r>
              <w:rPr>
                <w:rFonts w:ascii="Arial" w:cs="Arial" w:eastAsia="Arial" w:hAnsi="Arial"/>
                <w:sz w:val="24"/>
                <w:szCs w:val="24"/>
              </w:rPr>
              <w:t xml:space="preserve">C26.20.15;</w:t>
            </w:r>
            <w:r>
              <w:rPr>
                <w:rFonts w:ascii="Arial" w:cs="Arial" w:eastAsia="Arial" w:hAnsi="Arial"/>
                <w:sz w:val="24"/>
                <w:szCs w:val="24"/>
              </w:rPr>
              <w:t xml:space="preserve">C26.20.16.400;</w:t>
            </w:r>
            <w:r>
              <w:rPr>
                <w:rFonts w:ascii="Arial" w:cs="Arial" w:eastAsia="Arial" w:hAnsi="Arial"/>
                <w:sz w:val="24"/>
                <w:szCs w:val="24"/>
              </w:rPr>
              <w:t xml:space="preserve">C26.20.16.600;</w:t>
            </w:r>
            <w:r>
              <w:rPr>
                <w:rFonts w:ascii="Arial" w:cs="Arial" w:eastAsia="Arial" w:hAnsi="Arial"/>
                <w:sz w:val="24"/>
                <w:szCs w:val="24"/>
              </w:rPr>
              <w:t xml:space="preserve">C26.20.17;</w:t>
            </w:r>
            <w:r>
              <w:rPr>
                <w:rFonts w:ascii="Arial" w:cs="Arial" w:eastAsia="Arial" w:hAnsi="Arial"/>
                <w:sz w:val="24"/>
                <w:szCs w:val="24"/>
              </w:rPr>
              <w:t xml:space="preserve">C26.20.18;</w:t>
            </w:r>
            <w:r>
              <w:rPr>
                <w:rFonts w:ascii="Arial" w:cs="Arial" w:eastAsia="Arial" w:hAnsi="Arial"/>
                <w:sz w:val="24"/>
                <w:szCs w:val="24"/>
              </w:rPr>
              <w:t xml:space="preserve">C26.20.40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C26.20.11;</w:t>
            </w:r>
            <w:r>
              <w:rPr>
                <w:rFonts w:ascii="Arial" w:cs="Arial" w:eastAsia="Arial" w:hAnsi="Arial"/>
                <w:sz w:val="24"/>
                <w:szCs w:val="24"/>
              </w:rPr>
              <w:t xml:space="preserve">C26.20.12;</w:t>
            </w:r>
            <w:r>
              <w:rPr>
                <w:rFonts w:ascii="Arial" w:cs="Arial" w:eastAsia="Arial" w:hAnsi="Arial"/>
                <w:sz w:val="24"/>
                <w:szCs w:val="24"/>
              </w:rPr>
              <w:t xml:space="preserve">C26.20.13;</w:t>
            </w:r>
            <w:r>
              <w:rPr>
                <w:rFonts w:ascii="Arial" w:cs="Arial" w:eastAsia="Arial" w:hAnsi="Arial"/>
                <w:sz w:val="24"/>
                <w:szCs w:val="24"/>
              </w:rPr>
              <w:t xml:space="preserve">C26.20.14;</w:t>
            </w:r>
            <w:r>
              <w:rPr>
                <w:rFonts w:ascii="Arial" w:cs="Arial" w:eastAsia="Arial" w:hAnsi="Arial"/>
                <w:sz w:val="24"/>
                <w:szCs w:val="24"/>
              </w:rPr>
              <w:t xml:space="preserve">C26.20.15;</w:t>
            </w:r>
            <w:r>
              <w:rPr>
                <w:rFonts w:ascii="Arial" w:cs="Arial" w:eastAsia="Arial" w:hAnsi="Arial"/>
                <w:sz w:val="24"/>
                <w:szCs w:val="24"/>
              </w:rPr>
              <w:t xml:space="preserve">C26.20.16.400;</w:t>
            </w:r>
            <w:r>
              <w:rPr>
                <w:rFonts w:ascii="Arial" w:cs="Arial" w:eastAsia="Arial" w:hAnsi="Arial"/>
                <w:sz w:val="24"/>
                <w:szCs w:val="24"/>
              </w:rPr>
              <w:t xml:space="preserve">C26.20.16.600;</w:t>
            </w:r>
            <w:r>
              <w:rPr>
                <w:rFonts w:ascii="Arial" w:cs="Arial" w:eastAsia="Arial" w:hAnsi="Arial"/>
                <w:sz w:val="24"/>
                <w:szCs w:val="24"/>
              </w:rPr>
              <w:t xml:space="preserve">C26.20.17;</w:t>
            </w:r>
            <w:r>
              <w:rPr>
                <w:rFonts w:ascii="Arial" w:cs="Arial" w:eastAsia="Arial" w:hAnsi="Arial"/>
                <w:sz w:val="24"/>
                <w:szCs w:val="24"/>
              </w:rPr>
              <w:t xml:space="preserve">C26.20.18;</w:t>
            </w:r>
            <w:r>
              <w:rPr>
                <w:rFonts w:ascii="Arial" w:cs="Arial" w:eastAsia="Arial" w:hAnsi="Arial"/>
                <w:sz w:val="24"/>
                <w:szCs w:val="24"/>
              </w:rPr>
              <w:t xml:space="preserve">C26.20.40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r>
              <w:rPr>
                <w:rFonts w:ascii="Arial" w:cs="Arial" w:eastAsia="Arial" w:hAnsi="Arial"/>
                <w:sz w:val="24"/>
                <w:szCs w:val="24"/>
              </w:rPr>
              <w:t xml:space="preserve">852852;</w:t>
            </w:r>
            <w:r>
              <w:rPr>
                <w:rFonts w:ascii="Arial" w:cs="Arial" w:eastAsia="Arial" w:hAnsi="Arial"/>
                <w:sz w:val="24"/>
                <w:szCs w:val="24"/>
              </w:rPr>
              <w:t xml:space="preserve">852859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71;</w:t>
            </w:r>
            <w:r>
              <w:rPr>
                <w:rFonts w:ascii="Arial" w:cs="Arial" w:eastAsia="Arial" w:hAnsi="Arial"/>
                <w:sz w:val="24"/>
                <w:szCs w:val="24"/>
              </w:rPr>
              <w:t xml:space="preserve">85 28 52;</w:t>
            </w:r>
            <w:r>
              <w:rPr>
                <w:rFonts w:ascii="Arial" w:cs="Arial" w:eastAsia="Arial" w:hAnsi="Arial"/>
                <w:sz w:val="24"/>
                <w:szCs w:val="24"/>
              </w:rPr>
              <w:t xml:space="preserve">85 28 59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80 Plus Silver и выше, EU eco label или EU energy label класс "С" и выше в соответствии с Decision (EU) 2020/1804 и Regulation (EU) 2019/2013</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энергоэффективной бытовой техникой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энергоэффективной бытовой техникой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Энергоаудит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по энергоаудиту</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MA71.12.12;</w:t>
            </w:r>
            <w:r>
              <w:rPr>
                <w:rFonts w:ascii="Arial" w:cs="Arial" w:eastAsia="Arial" w:hAnsi="Arial"/>
                <w:sz w:val="24"/>
                <w:szCs w:val="24"/>
              </w:rPr>
              <w:t xml:space="preserve">MA71.12.17</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N71.12.12.100;</w:t>
            </w:r>
            <w:r>
              <w:rPr>
                <w:rFonts w:ascii="Arial" w:cs="Arial" w:eastAsia="Arial" w:hAnsi="Arial"/>
                <w:sz w:val="24"/>
                <w:szCs w:val="24"/>
              </w:rPr>
              <w:t xml:space="preserve">N71.12.17.100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предоставляемые в соответствии со стандартами ГОСТ 57576-2017, EN 16247 или ISO 50002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Энергоэффективность в промышленности и сельском хозяйстве</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производственных процессов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оптимизации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проектов оптимизации производства по методикам ТОП, Лин, Сих Сигма, и пр., которые демонстрируют повышение производственной и ресурсной эффективности как минимум на 10%</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MA70.22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N70.20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MA70.22.15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N70.20.15.100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всей(го) или части(тей) производственной линии или промышленного оборудования, в результате которых можно продемонстрировать ex-ante или ex-post, суммарную экономию использования хотя бы одного энергоносителя как минимум на 20%</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или доработка всей(го) или части(тей) производственной линии или промышленного оборудования, в результате которых можно продемонстрировать ex-ante или ex-post, снижение энергопотребления на единицу продукции как минимум на 20%</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нового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новой производственной линии или промышленного оборудования, которое является минимум на 20% более энергоэффективным по сравнению со средними показателями эквивалентных процессов в странах ОЭСР</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Вторичное использование тепла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дополнительного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сбору и полезному применению излишков тепловой энергии существующих технологических процессов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соответствия этой категории запрещается использование дополнительных количеств энергии или топлива в первичном процессе. Проект должен показывать чистое сокращение выброса парниковых газов по сравнению с альтернативными сценариями использования сохраненной тепловой энергии. 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инженеров, проектировщиков, консультантов, мастеров и прочих специалистов для профессиональной деятельности в сфере энергоэффективности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отходами</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перечисленные ниже</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 утилизация и переработка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временных хранилищ отходов, пунктов обработки и сортировки и заводов по переработке вторсырья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в проекте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 утилизация и переработка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сертифицированных зеленых зданий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F41.20.20.100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Твердые бытовые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раздельного сбора твердых бытовых отходов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E38.11.1;</w:t>
            </w:r>
            <w:r>
              <w:rPr>
                <w:rFonts w:ascii="Arial" w:cs="Arial" w:eastAsia="Arial" w:hAnsi="Arial"/>
                <w:sz w:val="24"/>
                <w:szCs w:val="24"/>
              </w:rPr>
              <w:t xml:space="preserve">E38.11.3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E38.11.1;</w:t>
            </w:r>
            <w:r>
              <w:rPr>
                <w:rFonts w:ascii="Arial" w:cs="Arial" w:eastAsia="Arial" w:hAnsi="Arial"/>
                <w:sz w:val="24"/>
                <w:szCs w:val="24"/>
              </w:rPr>
              <w:t xml:space="preserve">E38.11.2;</w:t>
            </w:r>
            <w:r>
              <w:rPr>
                <w:rFonts w:ascii="Arial" w:cs="Arial" w:eastAsia="Arial" w:hAnsi="Arial"/>
                <w:sz w:val="24"/>
                <w:szCs w:val="24"/>
              </w:rPr>
              <w:t xml:space="preserve">E38.11.3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этому классу относятся следующие коды отходов в соответствии с классификатором опасных отходов и методических рекомендаций по определению класса опасности отходов Кыргызской Республики: 20015; 20024; 20034; 20044; 20054; 20065; 20075; 20085; 20095; 20133; 20143; 20163; 20173; 20203; 20184; и 20215. Конечным пунктом доставки должен быть пункт временного хранения и последующей обработки и сортировки или завод вторичного сырья</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раздельного сбора бытовых и офисных отходов повышенного класса опасности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E38.12.11;</w:t>
            </w:r>
            <w:r>
              <w:rPr>
                <w:rFonts w:ascii="Arial" w:cs="Arial" w:eastAsia="Arial" w:hAnsi="Arial"/>
                <w:sz w:val="24"/>
                <w:szCs w:val="24"/>
              </w:rPr>
              <w:t xml:space="preserve">E38.12.14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этому классу относятся следующие коды отходов в соответствии с классификатором опасных отходов и методических рекомендаций по определению класса опасности отходов Кыргызской Республики: 20124; 20184; 20230; 20243; 20254; 20275; 20284; 20294; 20303; 20313; 20320; 20330; 20350. Конечным пунктом доставки должен быть пункт временного хранения и последующей обработки и сортировки или заводов вторичного сырья</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для раздельного сбора мусора в общественных местах</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C22.22;</w:t>
            </w:r>
            <w:r>
              <w:rPr>
                <w:rFonts w:ascii="Arial" w:cs="Arial" w:eastAsia="Arial" w:hAnsi="Arial"/>
                <w:sz w:val="24"/>
                <w:szCs w:val="24"/>
              </w:rPr>
              <w:t xml:space="preserve">C25.29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C22.22;</w:t>
            </w:r>
            <w:r>
              <w:rPr>
                <w:rFonts w:ascii="Arial" w:cs="Arial" w:eastAsia="Arial" w:hAnsi="Arial"/>
                <w:sz w:val="24"/>
                <w:szCs w:val="24"/>
              </w:rPr>
              <w:t xml:space="preserve">C25.22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C22.23.13;</w:t>
            </w:r>
            <w:r>
              <w:rPr>
                <w:rFonts w:ascii="Arial" w:cs="Arial" w:eastAsia="Arial" w:hAnsi="Arial"/>
                <w:sz w:val="24"/>
                <w:szCs w:val="24"/>
              </w:rPr>
              <w:t xml:space="preserve">C25.29.11.500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C22.22.13.100;</w:t>
            </w:r>
            <w:r>
              <w:rPr>
                <w:rFonts w:ascii="Arial" w:cs="Arial" w:eastAsia="Arial" w:hAnsi="Arial"/>
                <w:sz w:val="24"/>
                <w:szCs w:val="24"/>
              </w:rPr>
              <w:t xml:space="preserve">C25.22.11.500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контейнеров обязаны рассчитывать и раскрывать углеродный след контейнера в течение его жизненного цикла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Генерация тепла или электричества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Термическое разложение бытовых отходов для производства топлива, тепла или электричества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Термическое разложение отходов классов: 20015; 20024; 20034; 20044; 20054; 20065; 20075; 20085; 20095; 20133; 20143; 20163; 20173; 20203; 20184; 20215; 20223; 20230; 20243; 20254; 20275; 20284; 20294; 20372; 20385; 20395 и 20995 методом высокотемпературного пиролиза и использование продуктов пиролиза для отопления строений или для генерации электричества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Генерация тепла или электричества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Биологическое разложение бытовых отходов для производства топлива, тепла или электричества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Биологическое разложение отходов классов: 20015; 20024; 20044; 20065; 20075; 20085; 20095 и 20254 для синтеза метана и его последующее употребление в энергетических целях</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удобрений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Компостирование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E38.21.37.100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Биологическое разложение отходов класса 20095 для производства органических удобрений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Глубинная переработка до состояния готового сырья или продуктов вторичной переработки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E38.21.xx</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группы отходов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строительных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Глубинная переработка до состояния готового сырья или продуктов вторичной переработки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E38.21.26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17 группы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и коммерческие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Вторичная переработка металлов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сбора металлолома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классов 20133; 20143; 20153; 20163; 20173; 20184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Вторичная переработка металлов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готовой к употреблению продукции из металлолома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C24.10.2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C24.10.2;</w:t>
            </w:r>
            <w:r>
              <w:rPr>
                <w:rFonts w:ascii="Arial" w:cs="Arial" w:eastAsia="Arial" w:hAnsi="Arial"/>
                <w:sz w:val="24"/>
                <w:szCs w:val="24"/>
              </w:rPr>
              <w:t xml:space="preserve">C24.10.3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классов 20133; 20143; 20153; 20163; 20173; 20184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переработка жиров и пищевых отходов в биотопливо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биодизеля и других видов биотоплива из отходов ресторанов и производственных процессов пищевой промышленности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C20.59.59.970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C20.51.10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2, 3, 4, 18, 19, и 20 групп</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переработка отходов земледелия, животноводства и пищевой промышленности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биогаза и других видов биотоплива из отходов животноводства, сельскохозяйственной деятельности и пищевой промышленности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E35.21.10.900;</w:t>
            </w:r>
            <w:r>
              <w:rPr>
                <w:rFonts w:ascii="Arial" w:cs="Arial" w:eastAsia="Arial" w:hAnsi="Arial"/>
                <w:sz w:val="24"/>
                <w:szCs w:val="24"/>
              </w:rPr>
              <w:t xml:space="preserve">E38.21.29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D35.21.02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2, 3, 4, 18, 19, и 20 групп</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Механическая переработка отходов земледелия и пищевой промышленности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пиллетированной биомассы из отходов сельскохозяйственной деятельности и пищевой промышленности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C16.26.10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2, 3, 4, 18, 19, и 20 групп</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отходов сельскохозяйственной деятельности в удобрения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удобрений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демонстрировать нетто сокращение выбросов парниковых газов с учетом неопределенности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C20.15.80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C20.15.80.100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экологов, инженеров, проектировщиков, консультантов, мастеров и прочих специалистов для профессиональной деятельности в сфере управления отходами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водными ресурсами</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подготовка и доставка питьевой воды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подземных вод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скважин, трубопроводов, цехов водоподготовки и прочих сооружений для подачи питьевой воды, добытых из водоносных горизонтов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иметь максимальный дебет меньший, чем уровень самовосстановления горизонта. Энергия для насосов и прочих устройств подачи и подготовки воды должна быть из возобновляемых источников. В том случае если несколько проектов имеют доступ к одному и тому же горизонту, то их суммарный дебет должен быть меньше уровня самовосстановления горизонта. Качество воды на входе к потребителю должно соответствовать как минимум ГОСТ 2874-82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подачи питьевой воды для населения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подземных вод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включая бурение для подачи воды из подземных источников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w:t>
            </w:r>
            <w:r>
              <w:rPr>
                <w:rFonts w:ascii="Arial" w:cs="Arial" w:eastAsia="Arial" w:hAnsi="Arial"/>
                <w:sz w:val="24"/>
                <w:szCs w:val="24"/>
              </w:rPr>
              <w:t xml:space="preserve">F42.21.22;</w:t>
            </w:r>
            <w:r>
              <w:rPr>
                <w:rFonts w:ascii="Arial" w:cs="Arial" w:eastAsia="Arial" w:hAnsi="Arial"/>
                <w:sz w:val="24"/>
                <w:szCs w:val="24"/>
              </w:rPr>
              <w:t xml:space="preserve">F42.21.24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F42.21.21.100;</w:t>
            </w:r>
            <w:r>
              <w:rPr>
                <w:rFonts w:ascii="Arial" w:cs="Arial" w:eastAsia="Arial" w:hAnsi="Arial"/>
                <w:sz w:val="24"/>
                <w:szCs w:val="24"/>
              </w:rPr>
              <w:t xml:space="preserve">F42.21.22.100;</w:t>
            </w:r>
            <w:r>
              <w:rPr>
                <w:rFonts w:ascii="Arial" w:cs="Arial" w:eastAsia="Arial" w:hAnsi="Arial"/>
                <w:sz w:val="24"/>
                <w:szCs w:val="24"/>
              </w:rPr>
              <w:t xml:space="preserve">F42.21.24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водоотборных сооружений, трубопроводов, цехов водоподготовки и прочих сооружений для подачи питьевой воды, отобранной из поверхностных водоемов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Энергия для насосов и прочих устройств подачи и подготовки воды должна быть из возобновляемых источников. Качество воды на входе к потребителю должно соответствовать как минимум ГОСТ 2874-82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подачи питьевой воды для населения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подачи питьевой воды из поверхностных водоемов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w:t>
            </w:r>
            <w:r>
              <w:rPr>
                <w:rFonts w:ascii="Arial" w:cs="Arial" w:eastAsia="Arial" w:hAnsi="Arial"/>
                <w:sz w:val="24"/>
                <w:szCs w:val="24"/>
              </w:rPr>
              <w:t xml:space="preserve">F42.21.22; </w:t>
            </w:r>
            <w:r>
              <w:rPr>
                <w:rFonts w:ascii="Arial" w:cs="Arial" w:eastAsia="Arial" w:hAnsi="Arial"/>
                <w:sz w:val="24"/>
                <w:szCs w:val="24"/>
              </w:rPr>
              <w:t xml:space="preserve">F42.21.24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F42.21.21.100;</w:t>
            </w:r>
            <w:r>
              <w:rPr>
                <w:rFonts w:ascii="Arial" w:cs="Arial" w:eastAsia="Arial" w:hAnsi="Arial"/>
                <w:sz w:val="24"/>
                <w:szCs w:val="24"/>
              </w:rPr>
              <w:t xml:space="preserve">F42.21.22.100;</w:t>
            </w:r>
            <w:r>
              <w:rPr>
                <w:rFonts w:ascii="Arial" w:cs="Arial" w:eastAsia="Arial" w:hAnsi="Arial"/>
                <w:sz w:val="24"/>
                <w:szCs w:val="24"/>
              </w:rPr>
              <w:t xml:space="preserve">F42.21.24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Подача питьевой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сетей питьевого водоснабжения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D36.00.11;</w:t>
            </w:r>
            <w:r>
              <w:rPr>
                <w:rFonts w:ascii="Arial" w:cs="Arial" w:eastAsia="Arial" w:hAnsi="Arial"/>
                <w:sz w:val="24"/>
                <w:szCs w:val="24"/>
              </w:rPr>
              <w:t xml:space="preserve">D36.00.20;</w:t>
            </w:r>
            <w:r>
              <w:rPr>
                <w:rFonts w:ascii="Arial" w:cs="Arial" w:eastAsia="Arial" w:hAnsi="Arial"/>
                <w:sz w:val="24"/>
                <w:szCs w:val="24"/>
              </w:rPr>
              <w:t xml:space="preserve">D36.00.30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D36.00.1;</w:t>
            </w:r>
            <w:r>
              <w:rPr>
                <w:rFonts w:ascii="Arial" w:cs="Arial" w:eastAsia="Arial" w:hAnsi="Arial"/>
                <w:sz w:val="24"/>
                <w:szCs w:val="24"/>
              </w:rPr>
              <w:t xml:space="preserve">D36.00.2;</w:t>
            </w:r>
            <w:r>
              <w:rPr>
                <w:rFonts w:ascii="Arial" w:cs="Arial" w:eastAsia="Arial" w:hAnsi="Arial"/>
                <w:sz w:val="24"/>
                <w:szCs w:val="24"/>
              </w:rPr>
              <w:t xml:space="preserve">D36.00.3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воды на входе к потребителю должно соответствовать как минимум ГОСТ 2874-82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питьевой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и фильтрационные системы для питьевой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C28.29.12.300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C28.29.12.300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8421210009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21 21 00 20;</w:t>
            </w:r>
            <w:r>
              <w:rPr>
                <w:rFonts w:ascii="Arial" w:cs="Arial" w:eastAsia="Arial" w:hAnsi="Arial"/>
                <w:sz w:val="24"/>
                <w:szCs w:val="24"/>
              </w:rPr>
              <w:t xml:space="preserve">84 21 21 00 90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сертификации NSF или эквивалентной системы соответствия требованиям Директивы ЕС 2020/2184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воды для орошения</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водоотборных сооружений, трубопроводов и прочих сооружений для подачи воды для орошения, отобранной из поверхностных водоемов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иметь расчетный баланс потребления, который разработан в контексте бассейна исходного водоема и обеспечивать устойчивый отбор, который будет избегать деградирование водоема и экосистемы ниже по течению. Конструкция сетей должна быть закрытого типа и иметь уровень потерь меньше 5%.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орошения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ирригационных 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r>
              <w:rPr>
                <w:rFonts w:ascii="Arial" w:cs="Arial" w:eastAsia="Arial" w:hAnsi="Arial"/>
                <w:sz w:val="24"/>
                <w:szCs w:val="24"/>
              </w:rPr>
              <w:t xml:space="preserve">F42.21.24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F42.21.12.200;</w:t>
            </w:r>
            <w:r>
              <w:rPr>
                <w:rFonts w:ascii="Arial" w:cs="Arial" w:eastAsia="Arial" w:hAnsi="Arial"/>
                <w:sz w:val="24"/>
                <w:szCs w:val="24"/>
              </w:rPr>
              <w:t xml:space="preserve">F42.21.23;</w:t>
            </w:r>
            <w:r>
              <w:rPr>
                <w:rFonts w:ascii="Arial" w:cs="Arial" w:eastAsia="Arial" w:hAnsi="Arial"/>
                <w:sz w:val="24"/>
                <w:szCs w:val="24"/>
              </w:rPr>
              <w:t xml:space="preserve">F42.21.24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ирригационных 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r>
              <w:rPr>
                <w:rFonts w:ascii="Arial" w:cs="Arial" w:eastAsia="Arial" w:hAnsi="Arial"/>
                <w:sz w:val="24"/>
                <w:szCs w:val="24"/>
              </w:rPr>
              <w:t xml:space="preserve">A01.61.10.360;</w:t>
            </w:r>
            <w:r>
              <w:rPr>
                <w:rFonts w:ascii="Arial" w:cs="Arial" w:eastAsia="Arial" w:hAnsi="Arial"/>
                <w:sz w:val="24"/>
                <w:szCs w:val="24"/>
              </w:rPr>
              <w:t xml:space="preserve">A01.61.10.390;</w:t>
            </w:r>
            <w:r>
              <w:rPr>
                <w:rFonts w:ascii="Arial" w:cs="Arial" w:eastAsia="Arial" w:hAnsi="Arial"/>
                <w:sz w:val="24"/>
                <w:szCs w:val="24"/>
              </w:rPr>
              <w:t xml:space="preserve">E36.00.12;</w:t>
            </w:r>
            <w:r>
              <w:rPr>
                <w:rFonts w:ascii="Arial" w:cs="Arial" w:eastAsia="Arial" w:hAnsi="Arial"/>
                <w:sz w:val="24"/>
                <w:szCs w:val="24"/>
              </w:rPr>
              <w:t xml:space="preserve">E36.00.20;</w:t>
            </w:r>
            <w:r>
              <w:rPr>
                <w:rFonts w:ascii="Arial" w:cs="Arial" w:eastAsia="Arial" w:hAnsi="Arial"/>
                <w:sz w:val="24"/>
                <w:szCs w:val="24"/>
              </w:rPr>
              <w:t xml:space="preserve">E36.00.30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A01.61.00.330;</w:t>
            </w:r>
            <w:r>
              <w:rPr>
                <w:rFonts w:ascii="Arial" w:cs="Arial" w:eastAsia="Arial" w:hAnsi="Arial"/>
                <w:sz w:val="24"/>
                <w:szCs w:val="24"/>
              </w:rPr>
              <w:t xml:space="preserve">A01.61.00.360;</w:t>
            </w:r>
            <w:r>
              <w:rPr>
                <w:rFonts w:ascii="Arial" w:cs="Arial" w:eastAsia="Arial" w:hAnsi="Arial"/>
                <w:sz w:val="24"/>
                <w:szCs w:val="24"/>
              </w:rPr>
              <w:t xml:space="preserve">A01.61.00.390;</w:t>
            </w:r>
            <w:r>
              <w:rPr>
                <w:rFonts w:ascii="Arial" w:cs="Arial" w:eastAsia="Arial" w:hAnsi="Arial"/>
                <w:sz w:val="24"/>
                <w:szCs w:val="24"/>
              </w:rPr>
              <w:t xml:space="preserve">E36.00.12;</w:t>
            </w:r>
            <w:r>
              <w:rPr>
                <w:rFonts w:ascii="Arial" w:cs="Arial" w:eastAsia="Arial" w:hAnsi="Arial"/>
                <w:sz w:val="24"/>
                <w:szCs w:val="24"/>
              </w:rPr>
              <w:t xml:space="preserve">E36.00.22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Конструкция сетей должна быть закрытого типа и иметь уровень потерь меньше 5%.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орошения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систем капельного орошения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систем капельного орошения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капельного орошения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A01.61.00.330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капельного орошения и их компоненты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C22.19; C22.21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C22.12;</w:t>
            </w:r>
            <w:r>
              <w:rPr>
                <w:rFonts w:ascii="Arial" w:cs="Arial" w:eastAsia="Arial" w:hAnsi="Arial"/>
                <w:sz w:val="24"/>
                <w:szCs w:val="24"/>
              </w:rPr>
              <w:t xml:space="preserve">C22.21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C22.12.30.100;</w:t>
            </w:r>
            <w:r>
              <w:rPr>
                <w:rFonts w:ascii="Arial" w:cs="Arial" w:eastAsia="Arial" w:hAnsi="Arial"/>
                <w:sz w:val="24"/>
                <w:szCs w:val="24"/>
              </w:rPr>
              <w:t xml:space="preserve">C22.21.22.100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3917320001;</w:t>
            </w:r>
            <w:r>
              <w:rPr>
                <w:rFonts w:ascii="Arial" w:cs="Arial" w:eastAsia="Arial" w:hAnsi="Arial"/>
                <w:sz w:val="24"/>
                <w:szCs w:val="24"/>
              </w:rPr>
              <w:t xml:space="preserve">3917330009;</w:t>
            </w:r>
            <w:r>
              <w:rPr>
                <w:rFonts w:ascii="Arial" w:cs="Arial" w:eastAsia="Arial" w:hAnsi="Arial"/>
                <w:sz w:val="24"/>
                <w:szCs w:val="24"/>
              </w:rPr>
              <w:t xml:space="preserve">3917390008;</w:t>
            </w:r>
            <w:r>
              <w:rPr>
                <w:rFonts w:ascii="Arial" w:cs="Arial" w:eastAsia="Arial" w:hAnsi="Arial"/>
                <w:sz w:val="24"/>
                <w:szCs w:val="24"/>
              </w:rPr>
              <w:t xml:space="preserve">3917400009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17 32 00 90;</w:t>
            </w:r>
            <w:r>
              <w:rPr>
                <w:rFonts w:ascii="Arial" w:cs="Arial" w:eastAsia="Arial" w:hAnsi="Arial"/>
                <w:sz w:val="24"/>
                <w:szCs w:val="24"/>
              </w:rPr>
              <w:t xml:space="preserve">39 17 33 00 90;</w:t>
            </w:r>
            <w:r>
              <w:rPr>
                <w:rFonts w:ascii="Arial" w:cs="Arial" w:eastAsia="Arial" w:hAnsi="Arial"/>
                <w:sz w:val="24"/>
                <w:szCs w:val="24"/>
              </w:rPr>
              <w:t xml:space="preserve">39 17 39 00 99;</w:t>
            </w:r>
            <w:r>
              <w:rPr>
                <w:rFonts w:ascii="Arial" w:cs="Arial" w:eastAsia="Arial" w:hAnsi="Arial"/>
                <w:sz w:val="24"/>
                <w:szCs w:val="24"/>
              </w:rPr>
              <w:t xml:space="preserve">39 17 40 00 99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 для орошения</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систем сбора и хранения дождевой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систем, которые включают и сбор дождевой воды и ее хранение для последующего использования.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систем сбора и хранения дождевой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сбора и хранения дождевой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r>
              <w:rPr>
                <w:rFonts w:ascii="Arial" w:cs="Arial" w:eastAsia="Arial" w:hAnsi="Arial"/>
                <w:sz w:val="24"/>
                <w:szCs w:val="24"/>
              </w:rPr>
              <w:t xml:space="preserve">A01.61.10.360;</w:t>
            </w:r>
            <w:r>
              <w:rPr>
                <w:rFonts w:ascii="Arial" w:cs="Arial" w:eastAsia="Arial" w:hAnsi="Arial"/>
                <w:sz w:val="24"/>
                <w:szCs w:val="24"/>
              </w:rPr>
              <w:t xml:space="preserve">A01.61.10.390;</w:t>
            </w:r>
            <w:r>
              <w:rPr>
                <w:rFonts w:ascii="Arial" w:cs="Arial" w:eastAsia="Arial" w:hAnsi="Arial"/>
                <w:sz w:val="24"/>
                <w:szCs w:val="24"/>
              </w:rPr>
              <w:t xml:space="preserve">E36.00.20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r>
              <w:rPr>
                <w:rFonts w:ascii="Arial" w:cs="Arial" w:eastAsia="Arial" w:hAnsi="Arial"/>
                <w:sz w:val="24"/>
                <w:szCs w:val="24"/>
              </w:rPr>
              <w:t xml:space="preserve">A01.61.10.360;</w:t>
            </w:r>
            <w:r>
              <w:rPr>
                <w:rFonts w:ascii="Arial" w:cs="Arial" w:eastAsia="Arial" w:hAnsi="Arial"/>
                <w:sz w:val="24"/>
                <w:szCs w:val="24"/>
              </w:rPr>
              <w:t xml:space="preserve">A01.61.10.390;</w:t>
            </w:r>
            <w:r>
              <w:rPr>
                <w:rFonts w:ascii="Arial" w:cs="Arial" w:eastAsia="Arial" w:hAnsi="Arial"/>
                <w:sz w:val="24"/>
                <w:szCs w:val="24"/>
              </w:rPr>
              <w:t xml:space="preserve">E36.00.12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сточных вод</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сетей санитарных канализационных трубопроводов, очистных сооружений и прочих сооружений для сбора и очистки бытовых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систем, которые включают и сбор бытовых стоков, и их очистку, или только очистку.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 Проекты должны иметь системы улавливания и дальнейшего использования парниковых газов, к примеру метана. Качество вод на выходе из очистных сооружений должно соответствовать действующим санитарным нормам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систем сбора и очистки бытовых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F42.21.13;</w:t>
            </w:r>
            <w:r>
              <w:rPr>
                <w:rFonts w:ascii="Arial" w:cs="Arial" w:eastAsia="Arial" w:hAnsi="Arial"/>
                <w:sz w:val="24"/>
                <w:szCs w:val="24"/>
              </w:rPr>
              <w:t xml:space="preserve">F42.21.23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F42.21.13;</w:t>
            </w: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сбора и очистки бытовых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Септик системы для частного водоотвода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должны иметь системы улавливания и дальнейшего использования парниковых газов, к примеру метана. Качество вод на выходе должно соответствовать действующим санитарным нормам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ливневых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сетей сбора и очистки ливневых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систем должны обеспечивать очистку стоков от нефтепродуктов при нагрузке менее чем 25% от максимальной. Если проект использует какое-либо технологическое оборудование, то энергия для насосов и прочих устройств подачи и очистки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ливневых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систем сбора и очистки ливневых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F43.12.12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ливневых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сбора и очистки ливневых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экологов, инженеров, проектировщиков, консультантов, мастеров и прочих специалистов для профессиональной деятельности в сфере управления водными ресурсами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Устойчивое сельское хозяйство</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Сеялки беспахотного посева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C28.30.33.350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C28.30.23.100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843231</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84 32 31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Роторные бороны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C28.30.32.300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C28.30.22.100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8432293000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84 32 29 30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Культиваторы подкормщики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C28.30.32.100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C28.30.22.200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8432291000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84 32 29 10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навоза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С28.30.34.500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С28.30.24.100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8432410000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84 32 41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оборудованием для беспахотной обработки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G46.61.01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оборудования для беспахотной обработки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С33.12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С33.12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C33.12.21.200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C33.12.21.200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для беспахотной обработки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N77.31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N77.31.10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деградировавших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восстановлению деградировавших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поглощения углерода почвами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увеличению поглощения углерода почвами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доказать увеличение содержания углерода в почве минимум на 1,5% в год на основе лабораторного анализа репрезентативного отбора проб почв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выбросов закиси азота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снижению потребления азотных удобрений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Тепличное хозяйство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 для строительства, ремонта и введения в эксплуатацию теплиц</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должны быть сконструированы из материалов, подлежащих вторичной переработке и, если в конструкции используется пластик, они должны быть биоразлагаемые в течение 10 лет с момента утилизации. В случае использования систем отопления они должны использовать источник энергии на основе термического разложения отходов биомассы в пиролизных установках, возобновляемую энергию или остаточное тепло других технологических процессов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Тепличное хозяйство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теплиц</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F41.00.20.100;</w:t>
            </w:r>
            <w:r>
              <w:rPr>
                <w:rFonts w:ascii="Arial" w:cs="Arial" w:eastAsia="Arial" w:hAnsi="Arial"/>
                <w:sz w:val="24"/>
                <w:szCs w:val="24"/>
              </w:rPr>
              <w:t xml:space="preserve">F41.20.20.100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должны быть сконструированы из материалов, подлежащих вторичной переработке и, если в конструкции используется пластик, они должны быть биоразлагаемые в течение 10 лет с момента утилизации. В случае использования систем отопления они должны использовать источник энергии на основе термического разложения отходов биомассы в пиролизных установках, возобновляемую энергию или остаточное тепло других технологических процессов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аквапоники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выращивания культур в беспочвенных системах</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Агровольтаика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выращивания культур под фотоэлектрическими панелями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и обработка хлопка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Сертифицированное выращивание и обработка хлопка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A01.16</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должен иметь сертификат Better Cotton Initiative</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Селекционная деятельность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Секционирование засухоустойчивых, болезнеустойчивых и прочих гибридных культур и разновидностей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Натуральная селекция без использования технологий генетического модифицирования</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энергетической биомассы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энергетических культур или пород на деградировавших землях или землях не пригодных для выращивания пищевых или кормовых культур</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A01.19;</w:t>
            </w:r>
            <w:r>
              <w:rPr>
                <w:rFonts w:ascii="Arial" w:cs="Arial" w:eastAsia="Arial" w:hAnsi="Arial"/>
                <w:sz w:val="24"/>
                <w:szCs w:val="24"/>
              </w:rPr>
              <w:t xml:space="preserve">A02.10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A01.19; A02.10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иметь суммарное нетто поглощение углерода на протяжении жизненного цикла, улучшать состояние занимаемых земель и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хранилищ для сельскохозяйственной продукции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N71.12.19.200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строения с системами контроля климата должны быть сертифицируемы по какой-либо системе сертификации зеленых зданий: IFC EDGE Buildings, LEED, BREEAM или соответствовать требованиям Директивы 2010/31/EU. Легкие строения без систем контроля климата, должны быть сконструированы из материалов, подлежащих вторичной переработке. В случае использования систем климат-контроля или систем с контролируемой атмосферой (CAS), проекты должны показывать нетто сокращение выбросов парниковых газов или демонстрировать устойчивость в контексте адаптации к изменениям климата в контексте самых прагматичных сценариев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хранилищ для сельскохозяйственной продукции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F41.00.20.100;</w:t>
            </w:r>
            <w:r>
              <w:rPr>
                <w:rFonts w:ascii="Arial" w:cs="Arial" w:eastAsia="Arial" w:hAnsi="Arial"/>
                <w:sz w:val="24"/>
                <w:szCs w:val="24"/>
              </w:rPr>
              <w:t xml:space="preserve">F41.20.20.100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F41.00.22.200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капитальных строений необходимо получить сертификат под который был создан сертифицируемый проект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хранилищ для сельскохозяйственной продукции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H52.10.11;</w:t>
            </w:r>
            <w:r>
              <w:rPr>
                <w:rFonts w:ascii="Arial" w:cs="Arial" w:eastAsia="Arial" w:hAnsi="Arial"/>
                <w:sz w:val="24"/>
                <w:szCs w:val="24"/>
              </w:rPr>
              <w:t xml:space="preserve">H52.10.13;</w:t>
            </w:r>
            <w:r>
              <w:rPr>
                <w:rFonts w:ascii="Arial" w:cs="Arial" w:eastAsia="Arial" w:hAnsi="Arial"/>
                <w:sz w:val="24"/>
                <w:szCs w:val="24"/>
              </w:rPr>
              <w:t xml:space="preserve">H52.10.19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H52.10.01;</w:t>
            </w:r>
            <w:r>
              <w:rPr>
                <w:rFonts w:ascii="Arial" w:cs="Arial" w:eastAsia="Arial" w:hAnsi="Arial"/>
                <w:sz w:val="24"/>
                <w:szCs w:val="24"/>
              </w:rPr>
              <w:t xml:space="preserve">H52.10.03;</w:t>
            </w:r>
            <w:r>
              <w:rPr>
                <w:rFonts w:ascii="Arial" w:cs="Arial" w:eastAsia="Arial" w:hAnsi="Arial"/>
                <w:sz w:val="24"/>
                <w:szCs w:val="24"/>
              </w:rPr>
              <w:t xml:space="preserve">H52.10.09</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Электрифицированные газонокосилки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C28.30.40.100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8433111000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84 33 11 10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Электрифицированные цепные пилы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C28.24.11.230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C28.24.11.230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8467221000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84 67 22 10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Электрифицированные машины для подреза живой изгороди и газонов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C28.24.11.800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8467298000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84 67 29 80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электрифицированным садовым инструментом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G46.61.02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электрифицированным садовым инструментом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G47.52.16.700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G47.52.04.100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электрифицированного садового инструмента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S95.22.10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или лизинг электрифицированного садового инструмента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экологов, зоологов, агрономов, проектировщиков, консультантов, мастеров и прочих специалистов для профессиональной деятельности в сфере устойчивого сельского хозяйства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Глава 11. Механизмы отчетности</w:t>
      </w:r>
    </w:p>
    <w:p>
      <w:pPr>
        <w:spacing w:after="120"/>
        <w:ind w:firstLine="567"/>
        <w:jc w:val="both"/>
      </w:pPr>
      <w:r>
        <w:rPr>
          <w:rFonts w:ascii="Arial" w:cs="Arial" w:eastAsia="Arial" w:hAnsi="Arial"/>
          <w:sz w:val="24"/>
          <w:szCs w:val="24"/>
        </w:rPr>
        <w:t xml:space="preserve">34. В рамках достижения ЦУР и углеродной нейтральности, субъекты предпринимательства ведущие экономическую деятельность, соответствующую Таксономии и получающие фискальные преференции, должны вести учет своих выбросов парниковых газов в соответствии с международными стандартами, а именно серии стандартов GHG Protocol, и собирать необходимые данные для расчета выбросов в Охватах 1 и 2. Необходимые формы для сбора данной информации будут подготовлены уполномоченным органом Кыргызской Республики и будут включены в годовую отчетность.</w:t>
      </w:r>
    </w:p>
    <w:p>
      <w:pPr>
        <w:spacing w:after="120"/>
        <w:ind w:firstLine="567"/>
        <w:jc w:val="both"/>
      </w:pPr>
      <w:r>
        <w:rPr>
          <w:rFonts w:ascii="Arial" w:cs="Arial" w:eastAsia="Arial" w:hAnsi="Arial"/>
          <w:sz w:val="24"/>
          <w:szCs w:val="24"/>
        </w:rPr>
        <w:t xml:space="preserve">35. Для банков, небанковских и специализированных финансово-кредитных организаций уполномоченными органами будут разработаны формы отчетности показателей сокращения или роста выбросов парниковых газов на основе стандартов GHG Protocol для выбросов в охвате 3, категории 15.</w:t>
      </w:r>
    </w:p>
    <w:p>
      <w:pPr>
        <w:spacing w:after="120"/>
        <w:ind w:firstLine="567"/>
        <w:jc w:val="both"/>
      </w:pPr>
      <w:r>
        <w:rPr>
          <w:rFonts w:ascii="Arial" w:cs="Arial" w:eastAsia="Arial" w:hAnsi="Arial"/>
          <w:sz w:val="24"/>
          <w:szCs w:val="24"/>
        </w:rPr>
        <w:t xml:space="preserve">36. Для упрощения и стандартизации учетной политики уполномоченными государственными органами по зеленой экономике и изменению климата будут разработаны и утверждены соответствующие коэффициенты выбросов СО</w:t>
      </w:r>
      <w:r>
        <w:rPr>
          <w:rFonts w:ascii="Arial" w:cs="Arial" w:eastAsia="Arial" w:hAnsi="Arial"/>
          <w:sz w:val="24"/>
          <w:szCs w:val="24"/>
        </w:rPr>
        <w:t xml:space="preserve">2</w:t>
      </w:r>
      <w:r>
        <w:rPr>
          <w:rFonts w:ascii="Arial" w:cs="Arial" w:eastAsia="Arial" w:hAnsi="Arial"/>
          <w:sz w:val="24"/>
          <w:szCs w:val="24"/>
        </w:rPr>
        <w:t xml:space="preserve">е для основных видов ископаемого топлива и технических газов, доступные на территории Кыргызской Республики. До момента утверждения указанных коэффициентов рекомендуется использовать стандартные (Default) коэффициенты первой группы (Tier 1) в таблицах МГЭИК (IPCC) (https://www.ipcc-nggip.iges.or.jp/public/2006gl/index.html) и коэффициентов парниковости указанные в приложениях 6 оценочному отчету МГЭИК (https://www.ipcc.ch/report/ar6/wg1/downloads/report/IPCC_AR6_WGI_Chapter07_SM.pdf).</w:t>
      </w:r>
    </w:p>
    <w:p>
      <w:pPr>
        <w:spacing w:after="240" w:before="200"/>
        <w:jc w:val="center"/>
      </w:pPr>
      <w:r>
        <w:rPr>
          <w:rFonts w:ascii="Arial" w:cs="Arial" w:eastAsia="Arial" w:hAnsi="Arial"/>
          <w:b/>
          <w:bCs/>
          <w:sz w:val="32"/>
          <w:szCs w:val="32"/>
        </w:rPr>
        <w:t xml:space="preserve">Глава 12. Институт оценщиков зеленой деятельности</w:t>
      </w:r>
    </w:p>
    <w:p>
      <w:pPr>
        <w:spacing w:after="120"/>
        <w:ind w:firstLine="567"/>
        <w:jc w:val="both"/>
      </w:pPr>
      <w:r>
        <w:rPr>
          <w:rFonts w:ascii="Arial" w:cs="Arial" w:eastAsia="Arial" w:hAnsi="Arial"/>
          <w:sz w:val="24"/>
          <w:szCs w:val="24"/>
        </w:rPr>
        <w:t xml:space="preserve">37. Институт оценщиков зеленой деятельности может осуществлять свою функцию только после включения в реестр оценщиков зеленой деятельности.</w:t>
      </w:r>
    </w:p>
    <w:p>
      <w:pPr>
        <w:spacing w:after="120"/>
        <w:ind w:firstLine="567"/>
        <w:jc w:val="both"/>
      </w:pPr>
      <w:r>
        <w:rPr>
          <w:rFonts w:ascii="Arial" w:cs="Arial" w:eastAsia="Arial" w:hAnsi="Arial"/>
          <w:sz w:val="24"/>
          <w:szCs w:val="24"/>
        </w:rPr>
        <w:t xml:space="preserve">38. Требования для включения в реестр оценщиков зеленой деятельности, в том числе уровень гарантий для физических и юридических лиц, будет определяться уполномоченным государственным органом по зеленой экономике.</w:t>
      </w:r>
    </w:p>
    <w:p>
      <w:pPr>
        <w:spacing w:after="240" w:before="200"/>
        <w:jc w:val="center"/>
      </w:pPr>
      <w:r>
        <w:rPr>
          <w:rFonts w:ascii="Arial" w:cs="Arial" w:eastAsia="Arial" w:hAnsi="Arial"/>
          <w:b/>
          <w:bCs/>
          <w:sz w:val="32"/>
          <w:szCs w:val="32"/>
        </w:rPr>
        <w:t xml:space="preserve">Глава 13. Заключительные положения</w:t>
      </w:r>
    </w:p>
    <w:p>
      <w:pPr>
        <w:spacing w:after="120"/>
        <w:ind w:firstLine="567"/>
        <w:jc w:val="both"/>
      </w:pPr>
      <w:r>
        <w:rPr>
          <w:rFonts w:ascii="Arial" w:cs="Arial" w:eastAsia="Arial" w:hAnsi="Arial"/>
          <w:sz w:val="24"/>
          <w:szCs w:val="24"/>
        </w:rPr>
        <w:t xml:space="preserve">39. Таксономия является пилотной реализацией наилучших мировых практик и предполагает расширение списка категорий и изменение требований соответствия на основе фактической реализации Таксономии после ее утверждения и должна быть пересмотрена в обязательном порядке не позже трех лет с момента ее принятия.</w:t>
      </w:r>
    </w:p>
    <w:p>
      <w:pPr>
        <w:spacing w:after="120"/>
        <w:ind w:firstLine="567"/>
        <w:jc w:val="both"/>
      </w:pPr>
      <w:r>
        <w:rPr>
          <w:rFonts w:ascii="Arial" w:cs="Arial" w:eastAsia="Arial" w:hAnsi="Arial"/>
          <w:sz w:val="24"/>
          <w:szCs w:val="24"/>
        </w:rPr>
        <w:t xml:space="preserve">40. Министерство экономики и коммерции Кыргызской Республики как уполномоченный государственный орган, ответственный за разработку экономической политики и развитие зеленой экономики, будет государственным органом, ответственным за общий мониторинг качества реализации и последующие изменения в тексте Таксономии.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примеру, материнская компания зарегистрирована в Королевстве Нидерландов и должна отчитываться в соответствии с таксономией Европейского Союза</w:t>
      </w:r>
    </w:p>
    <w:p>
      <w:pPr>
        <w:spacing w:after="120"/>
        <w:ind w:firstLine="567"/>
        <w:jc w:val="both"/>
      </w:pPr>
      <w:r>
        <w:rPr>
          <w:rFonts w:ascii="Arial" w:cs="Arial" w:eastAsia="Arial" w:hAnsi="Arial"/>
          <w:sz w:val="24"/>
          <w:szCs w:val="24"/>
        </w:rPr>
        <w:t xml:space="preserve">(2) Важно в контексте определения таможенной классификации</w:t>
      </w:r>
    </w:p>
    <w:p>
      <w:pPr>
        <w:spacing w:after="120"/>
        <w:ind w:firstLine="567"/>
        <w:jc w:val="both"/>
      </w:pPr>
      <w:r>
        <w:rPr>
          <w:rFonts w:ascii="Arial" w:cs="Arial" w:eastAsia="Arial" w:hAnsi="Arial"/>
          <w:sz w:val="24"/>
          <w:szCs w:val="24"/>
        </w:rPr>
        <w:t xml:space="preserve">(https://eec.eaeunion.org/comission/department/dep_tamoj_zak/klassifikatsiya-tovarov-v-sootvetstvii-s-tn-ved-eaes/) и определения соответствия кодам экономической деятельности</w:t>
      </w:r>
    </w:p>
    <w:p>
      <w:pPr>
        <w:spacing w:after="120"/>
        <w:ind w:firstLine="567"/>
        <w:jc w:val="both"/>
      </w:pPr>
      <w:r>
        <w:rPr>
          <w:rFonts w:ascii="Arial" w:cs="Arial" w:eastAsia="Arial" w:hAnsi="Arial"/>
          <w:sz w:val="24"/>
          <w:szCs w:val="24"/>
        </w:rPr>
        <w:t xml:space="preserve">(https://cbd.minjust.gov.kg/94011/edition/1253103/ru?anchor=pr)</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rp1srxhbfmcewx1eok4">
      <w:r>
        <w:rPr>
          <w:rFonts w:ascii="Arial" w:cs="Arial" w:eastAsia="Arial" w:hAnsi="Arial"/>
          <w:color w:val="132D3F"/>
          <w:sz w:val="16"/>
          <w:szCs w:val="16"/>
          <w:u w:val="single"/>
        </w:rPr>
        <w:t xml:space="preserve">dalil.kg/document/230027027</w:t>
      </w:r>
    </w:hyperlink>
  </w:p>
  <w:p>
    <w:pPr>
      <w:spacing w:after="0" w:before="40"/>
      <w:jc w:val="center"/>
    </w:pPr>
    <w:hyperlink w:history="1" r:id="rIdctlp3knfpjtocdnlnfu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75nvidze_bkmhewb_on" Type="http://schemas.openxmlformats.org/officeDocument/2006/relationships/hyperlink" Target="https://dalil.kg/document/112340#st_284" TargetMode="External"/><Relationship Id="rIdslvajglq4icxrvsik8rg8" Type="http://schemas.openxmlformats.org/officeDocument/2006/relationships/hyperlink" Target="https://dalil.kg/document/112340#st_297" TargetMode="External"/><Relationship Id="rIdtiljxmo3pazs1fjhqxn9g" Type="http://schemas.openxmlformats.org/officeDocument/2006/relationships/hyperlink" Target="https://dalil.kg/document/112301#st_13" TargetMode="External"/><Relationship Id="rIdalqch9v5kmtd0npjffnhr" Type="http://schemas.openxmlformats.org/officeDocument/2006/relationships/hyperlink" Target="https://dalil.kg/document/112301#st_17" TargetMode="External"/><Relationship Id="rIdqjnskpjjqqlvocqykbql4" Type="http://schemas.openxmlformats.org/officeDocument/2006/relationships/hyperlink" Target="https://dalil.kg/document/230027027#pr" TargetMode="External"/><Relationship Id="rId0gku4ghmtkapd2mjygf-v" Type="http://schemas.openxmlformats.org/officeDocument/2006/relationships/hyperlink" Target="https://dalil.kg/document/1190" TargetMode="External"/><Relationship Id="rIdu-xuhocv1euic26c4fjeg" Type="http://schemas.openxmlformats.org/officeDocument/2006/relationships/hyperlink" Target="https://dalil.kg/document/202677#st_3" TargetMode="External"/><Relationship Id="rIdnhqwwgetr7jz_zgsndvmt" Type="http://schemas.openxmlformats.org/officeDocument/2006/relationships/hyperlink" Target="https://dalil.kg/document/112340#st_252" TargetMode="External"/><Relationship Id="rIdddxhpyce-dyybjcff_5cm" Type="http://schemas.openxmlformats.org/officeDocument/2006/relationships/hyperlink" Target="https://dalil.kg/document/111908#st_2" TargetMode="External"/><Relationship Id="rIdrsu6x6cwdig7d_grpqal5" Type="http://schemas.openxmlformats.org/officeDocument/2006/relationships/hyperlink" Target="https://dalil.kg/document/111908" TargetMode="External"/><Relationship Id="rIdvmnllsuygzy_8ekfki6sb" Type="http://schemas.openxmlformats.org/officeDocument/2006/relationships/hyperlink" Target="https://dalil.kg/document/397#st_2" TargetMode="External"/><Relationship Id="rId8c-nnupc_plon3k1wayxv" Type="http://schemas.openxmlformats.org/officeDocument/2006/relationships/hyperlink" Target="https://dalil.kg/document/202104" TargetMode="External"/><Relationship Id="rIdxggnpoqmk2hvbm18qtkog" Type="http://schemas.openxmlformats.org/officeDocument/2006/relationships/hyperlink" Target="https://dalil.kg/document/112340" TargetMode="External"/><Relationship Id="rIdfkoxeuv1v37evdf1vwl-l" Type="http://schemas.openxmlformats.org/officeDocument/2006/relationships/hyperlink" Target="https://dalil.kg/document/112340" TargetMode="External"/><Relationship Id="rIdqqcr_jm3jkbecfv_aruvn" Type="http://schemas.openxmlformats.org/officeDocument/2006/relationships/hyperlink" Target="https://dalil.kg/document/4" TargetMode="External"/><Relationship Id="rIdqcabmrxlvm2ladhtwgs2r" Type="http://schemas.openxmlformats.org/officeDocument/2006/relationships/hyperlink" Target="https://dalil.kg/document/1605" TargetMode="External"/><Relationship Id="rIdckqb76o-pzz2wwgdhhpwq" Type="http://schemas.openxmlformats.org/officeDocument/2006/relationships/hyperlink" Target="https://dalil.kg/document/112424" TargetMode="External"/><Relationship Id="rIdztk3qelzpuh1klfxtukhi" Type="http://schemas.openxmlformats.org/officeDocument/2006/relationships/hyperlink" Target="https://dalil.kg/document/111908" TargetMode="External"/><Relationship Id="rIdilbcuj3nlwamz3r8czmz1" Type="http://schemas.openxmlformats.org/officeDocument/2006/relationships/hyperlink" Target="https://dalil.kg/document/1190" TargetMode="External"/><Relationship Id="rIdoessh0ntymgbxud8fr8kz" Type="http://schemas.openxmlformats.org/officeDocument/2006/relationships/hyperlink" Target="https://dalil.kg/document/112382" TargetMode="External"/><Relationship Id="rIdoo-0znt2aq-bhzbzdghp3" Type="http://schemas.openxmlformats.org/officeDocument/2006/relationships/hyperlink" Target="https://dalil.kg/document/96" TargetMode="External"/><Relationship Id="rIdpl7zf0lzgip-ps4rdz4x3" Type="http://schemas.openxmlformats.org/officeDocument/2006/relationships/hyperlink" Target="https://dalil.kg/document/202677" TargetMode="External"/><Relationship Id="rIddknmnbha1rob0uri1ktgt" Type="http://schemas.openxmlformats.org/officeDocument/2006/relationships/hyperlink" Target="https://dalil.kg/document/397" TargetMode="External"/><Relationship Id="rId-spwwt68c1biejqn-4ofm" Type="http://schemas.openxmlformats.org/officeDocument/2006/relationships/hyperlink" Target="https://dalil.kg/document/111972" TargetMode="External"/><Relationship Id="rIdhswdemz8eeps6_o6w8o33" Type="http://schemas.openxmlformats.org/officeDocument/2006/relationships/hyperlink" Target="https://dalil.kg/document/202104" TargetMode="External"/><Relationship Id="rIdsyx3ed1_ofzxya4fmbof0" Type="http://schemas.openxmlformats.org/officeDocument/2006/relationships/hyperlink" Target="https://dalil.kg/document/218" TargetMode="External"/><Relationship Id="rId41rqbgl0mwxfkk3q58uxw" Type="http://schemas.openxmlformats.org/officeDocument/2006/relationships/hyperlink" Target="https://dalil.kg/document/216" TargetMode="External"/><Relationship Id="rIdb2e8fd8rnyzeko5pqz9ys" Type="http://schemas.openxmlformats.org/officeDocument/2006/relationships/hyperlink" Target="https://dalil.kg/document/112361" TargetMode="External"/><Relationship Id="rIdqv9rlgqta1gasyr516is8" Type="http://schemas.openxmlformats.org/officeDocument/2006/relationships/hyperlink" Target="https://dalil.kg/document/90963" TargetMode="External"/><Relationship Id="rId6sbkwrj_3_x-y5ivs8cit" Type="http://schemas.openxmlformats.org/officeDocument/2006/relationships/hyperlink" Target="https://dalil.kg/document/94011" TargetMode="External"/><Relationship Id="rIdbwwxcj1rqzrimdgg8ddbf" Type="http://schemas.openxmlformats.org/officeDocument/2006/relationships/hyperlink" Target="https://dalil.kg/document/230027027#g10" TargetMode="External"/><Relationship Id="rIdrxt1ylj6bnzr4ntjoyj5o" Type="http://schemas.openxmlformats.org/officeDocument/2006/relationships/hyperlink" Target="https://dalil.kg/document/112340" TargetMode="External"/><Relationship Id="rId6aeg40zyd_eb0nx82x08x" Type="http://schemas.openxmlformats.org/officeDocument/2006/relationships/hyperlink" Target="https://dalil.kg/document/230027027#g10" TargetMode="External"/><Relationship Id="rIdv8olend0llzlw5ecrnfg9" Type="http://schemas.openxmlformats.org/officeDocument/2006/relationships/hyperlink" Target="https://dalil.kg/document/112340" TargetMode="External"/><Relationship Id="rIdbzqbt1vgjbigmtvtj0tmq" Type="http://schemas.openxmlformats.org/officeDocument/2006/relationships/hyperlink" Target="https://dalil.kg/document/230027027#g10" TargetMode="External"/><Relationship Id="rId0rqh2gy72lpfbzw99e3it" Type="http://schemas.openxmlformats.org/officeDocument/2006/relationships/hyperlink" Target="https://dalil.kg/document/230027027#g10" TargetMode="External"/><Relationship Id="rId2zhwaw-_r3tj8kweeaqck" Type="http://schemas.openxmlformats.org/officeDocument/2006/relationships/hyperlink" Target="https://dalil.kg/document/230027027#g10" TargetMode="External"/><Relationship Id="rIdr0kefi4x_yozidtjcazii" Type="http://schemas.openxmlformats.org/officeDocument/2006/relationships/hyperlink" Target="https://dalil.kg/document/230027027#g10" TargetMode="External"/><Relationship Id="rIdkdfn8qhvgjkkoquaoauxy" Type="http://schemas.openxmlformats.org/officeDocument/2006/relationships/hyperlink" Target="https://dalil.kg/document/112340" TargetMode="External"/><Relationship Id="rIdztyhkmnqaxs223v-1jdly" Type="http://schemas.openxmlformats.org/officeDocument/2006/relationships/hyperlink" Target="https://dalil.kg/document/112340#st_284" TargetMode="External"/><Relationship Id="rIdfib_8mjnko-fa6vrpaf4z" Type="http://schemas.openxmlformats.org/officeDocument/2006/relationships/hyperlink" Target="https://dalil.kg/document/112340#st_297" TargetMode="External"/><Relationship Id="rId1flxmm9-jegwvmzm1cawp" Type="http://schemas.openxmlformats.org/officeDocument/2006/relationships/hyperlink" Target="https://dalil.kg/document/112340#st_191"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rp1srxhbfmcewx1eok4" Type="http://schemas.openxmlformats.org/officeDocument/2006/relationships/hyperlink" Target="https://dalil.kg/document/230027027" TargetMode="External"/><Relationship Id="rIdctlp3knfpjtocdnlnfu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2026-09-27T12:57:28.092Z</dcterms:created>
  <dcterms:modified xsi:type="dcterms:W3CDTF">2026-09-27T12:57:28.092Z</dcterms:modified>
</cp:coreProperties>
</file>

<file path=docProps/custom.xml><?xml version="1.0" encoding="utf-8"?>
<Properties xmlns="http://schemas.openxmlformats.org/officeDocument/2006/custom-properties" xmlns:vt="http://schemas.openxmlformats.org/officeDocument/2006/docPropsVTypes"/>
</file>