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liua-kwjlab3cxl1go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22 мая 2025 года № 166)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Боевом знамени Национальной гвардии Вооруженных Сил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y2cmwl_qosv-zeek1jc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Боевое знамя Национальной гвардии Вооруженных Сил Кыргызской Республики - особо почетный знак, отличающий особенности боевого предназначения, истории и заслуг воинской части, а также указывающий на ее принадлежность к Вооруженным Силам Кыргызской Республики. Боевое знамя является символом воинской чести, доблести и славы, служит напоминанием каждому военнослужащему о героических традициях и священном долге защиты Отечества.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представляет собой двухстороннее полотнище прямоугольной формы, изготовленное из бархатной (шелковой) ткани красного (кумачового) цвета. Длина полотнища - 1450 мм, ширина - 1100 мм. С трех сторон по краям полотнища обрамлено бахромой желтого (золотистого)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в середине полотнища расположены знак символики Вооруженных Сил Кыргызской Республики и надпись "КЫРГЫЗ РЕСПУБЛИКАСЫНЫН КУРАЛДУУ КҮЧТӨРҮ", под знаком символики надпись: "МИЛДЕТ НАМЫС АТА МЕКЕН", на оборотной стороне в середине полотнища расположен знак символики Национальной гвардии Вооруженных Сил Кыргызской Республики, над символикой надпись: "КЫРГЫЗ РЕСПУБЛИКАСЫНЫН КУРАЛДУУ КҮЧТӨРҮ", под знаком символики Национальной гвардии Вооруженных Сил Кыргызской Республики надпись: "УЛУТТУК ГВАРДИЯСЫ". Отношение ширины знака символики к ширине полотнища - один к двум.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изображения и надписи выполнены желтым (золотистым) цветом.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 – никелированный фигурный наконечник, заостренный к верху, длиной 330 мм, шириной у нижнего основания 117 мм и толщиной не менее 2 мм, в центре которого расположены знак Манаса (родовая печать), символизирующий историко-культурное наследие и духовные ценности кыргызского народа, и тундук, символизирующий единство народа.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знамени крученный, изготавливается из шелка желтого (золотистого) цвета с двумя кистями на концах. Длина шнура составляет 2700 мм. Шнур крепится у нижнего основания наконечника знамени, соотношение длины его отрезков - два к трем.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8jma3keqasf-faesic_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Знак символики Вооруженных Сил Кыргызской Республики представляет собой изображение сокола с распростертыми крыльями. На груди сокола расположен щит красного цвета, вытянутый к низу. В центре щита расположена военная эмблема - пятиконечная звезда. В правой лапе сокол держит не обнаженный меч, повернутый острием вверх, в левой лапе - дубовую ветвь.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 символики Национальной гвардии Вооруженных Сил Кыргызской Республики представляет собой изображение восьмилучевой граненной звезды желтого (золотистого) цвета, за лучевой звездой расположен круг светло-синего цвета, означающий славу, честь, верность и искренность, края круга окаймлены лавровыми ветвями зеленого цвета, означающими символ победы. В центре звезды расположен круг белого цвета, верхняя и нижняя часть которого окаймлена лентами красного цвета с надписями желтого (золотистого) цвета: в верхней части "КЫРГЫЗ РЕСПУБЛИКАСЫ", в нижней - "УЛУТТУК ГВАРДИЯ". С левой и правой стороны круга расположены элементы национального узора желтого (золотистого) цвета. В центре круга находится круглый щит красного цвета, по центру внутри щита - элемент национального узора желтого (золотистого) цвета. За щитом находятся два скрещенных между собой копья серебристого цвета, повернутые острием вверх, символизирующие обороноспособность и сохранность.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Боевое знамя хранится в специально оборудованном помещении (пост № 1) на пьедестале под стеклянным колпаком, опечатанным гербовой печатью, и выносится на торжественные мероприятия.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Боевое знамя сохраняется за Национальной гвардией Вооруженных Сил Кыргызской Республики на все время независимо от изменений наименования. При этом изменения наименования заносятся в грамоту Президента Кыргызской Республики, выдаваемую при вручении Боевого знамени. При переформировании и переименовании Национальной гвардии Вооруженных Сил Кыргызской Республики Боевое знамя, а также ее награды и почетные наименования могут быть оставлены по решению руководителя уполномоченного государственного органа, ведающего вопросами обороны.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расформировании Национальной гвардии Вооруженных Сил Кыргызской Республики Боевое знамя передается в режимно-секретный орган органа военного управления для дальнейшего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Боевое знамя не может быть использовано другими органами, лицами. Его искажение, разрушение и другие действия подобного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e3k638xzfiycrp-zo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dalil.kg/document/230027053</w:t>
      </w:r>
    </w:hyperlink>
  </w:p>
  <w:p>
    <w:pPr>
      <w:spacing w:after="0" w:before="40"/>
      <w:jc w:val="center"/>
    </w:pPr>
    <w:hyperlink w:history="1" r:id="rIdr03fbgqwek2rarx0lpx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iua-kwjlab3cxl1goym" Type="http://schemas.openxmlformats.org/officeDocument/2006/relationships/hyperlink" Target="https://dalil.kg/document/230027049" TargetMode="External"/><Relationship Id="rIdy2cmwl_qosv-zeek1jce5" Type="http://schemas.openxmlformats.org/officeDocument/2006/relationships/hyperlink" Target="https://dalil.kg/document/230043680" TargetMode="External"/><Relationship Id="rId8jma3keqasf-faesic_w3" Type="http://schemas.openxmlformats.org/officeDocument/2006/relationships/hyperlink" Target="https://dalil.kg/document/230043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e3k638xzfiycrp-zojw" Type="http://schemas.openxmlformats.org/officeDocument/2006/relationships/hyperlink" Target="https://dalil.kg/document/230027053" TargetMode="External"/><Relationship Id="rIdr03fbgqwek2rarx0lpx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2026-09-27T02:34:25.194Z</dcterms:created>
  <dcterms:modified xsi:type="dcterms:W3CDTF">2026-09-27T02:34:25.194Z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