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2993-VII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16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16 апреля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Генерального прокурора Кыргызской Республики о состоянии законности в Кыргызской Республике в 2024 году и проделанной органами прокуратуры работе по ее укреплению;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Рамочного соглашения о плане финансирования в 2025 году между Кыргызской Республикой и Азиатским банком развития, подписанного 4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 (1) Шопоковский Подпроект, (2) Таласский Подпроект фаза II, (3) Кеминский Подпроект" и Грантового соглашения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предоставляемого по проекту "Программа повышения устойчивости водного сектора Кыргызской Республики (1) Шопоковский Подпроект, (2) Таласский Подпроект фаза II, (3) Кеминский Подпроект", подписанных 19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в области безопасности между Кабинетом Министров Кыргызской Республики и Правительством Турецкой Республики, подписанного 5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о выдаче между Кыргызской Республикой и Итальянской Республикой, подписанного 3 октября 2024 года в городе Рим";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Республики Казахстан об урегулировании прав собственности Республики Казахстан на объекты курортно-рекреационного хозяйства, расположенные на территории Иссык-Кульской области Кыргызской Республики, от 4 июля 2006 года и Протокола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предоставлении в аренду земельных участков в Иссык-Кульском районе Иссык-Кульской области Кыргызской Республики от 1 декабря 2009 года, подписанных 4 декабря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Евразийским фондом стабилизации и развития и Кабинетом Министров Кыргызской Республики об условиях пребывания Евразийского фонда стабилизации и развития на территории Кыргызской Республики, подписанного 20 марта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fzpx809hrraoxffdr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dalil.kg/document/230027645</w:t>
      </w:r>
    </w:hyperlink>
  </w:p>
  <w:p>
    <w:pPr>
      <w:spacing w:after="0" w:before="40"/>
      <w:jc w:val="center"/>
    </w:pPr>
    <w:hyperlink w:history="1" r:id="rIdw-vizigvl41_rndahoy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fzpx809hrraoxffdrsd" Type="http://schemas.openxmlformats.org/officeDocument/2006/relationships/hyperlink" Target="https://dalil.kg/document/230027645" TargetMode="External"/><Relationship Id="rIdw-vizigvl41_rndahoy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2026-09-27T13:31:52.902Z</dcterms:created>
  <dcterms:modified xsi:type="dcterms:W3CDTF">2026-09-27T13:31:52.902Z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