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8shlme-kroap3ky4ayk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 актов государственных органов,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обладающих правовым характером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-lzyas8tve3k-5rvarp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принятия актов государственных органов, обладающих правовым характером (далее</w:t>
      </w:r>
      <w:r>
        <w:rPr>
          <w:rFonts w:ascii="Arial" w:cs="Arial" w:eastAsia="Arial" w:hAnsi="Arial"/>
          <w:sz w:val="24"/>
          <w:szCs w:val="24"/>
        </w:rPr>
        <w:t xml:space="preserve"> –</w:t>
      </w:r>
      <w:r>
        <w:rPr>
          <w:rFonts w:ascii="Arial" w:cs="Arial" w:eastAsia="Arial" w:hAnsi="Arial"/>
          <w:sz w:val="24"/>
          <w:szCs w:val="24"/>
        </w:rPr>
        <w:t xml:space="preserve"> Порядок), устанавливает единые требования к актам</w:t>
      </w:r>
      <w:r>
        <w:rPr>
          <w:rFonts w:ascii="Arial" w:cs="Arial" w:eastAsia="Arial" w:hAnsi="Arial"/>
          <w:sz w:val="24"/>
          <w:szCs w:val="24"/>
        </w:rPr>
        <w:t xml:space="preserve"> министерств, государственного комитета, административных ведомств и иных государственных органов (далее – государственные органы)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подпадающих под критерии, установленные в пункте 3 настоящего Порядка</w:t>
      </w:r>
      <w:r>
        <w:rPr>
          <w:rFonts w:ascii="Arial" w:cs="Arial" w:eastAsia="Arial" w:hAnsi="Arial"/>
          <w:sz w:val="24"/>
          <w:szCs w:val="24"/>
        </w:rPr>
        <w:t xml:space="preserve">, их подготовку, оформление, </w:t>
      </w:r>
      <w:r>
        <w:rPr>
          <w:rFonts w:ascii="Arial" w:cs="Arial" w:eastAsia="Arial" w:hAnsi="Arial"/>
          <w:sz w:val="24"/>
          <w:szCs w:val="24"/>
        </w:rPr>
        <w:t xml:space="preserve">согласование, </w:t>
      </w:r>
      <w:r>
        <w:rPr>
          <w:rFonts w:ascii="Arial" w:cs="Arial" w:eastAsia="Arial" w:hAnsi="Arial"/>
          <w:sz w:val="24"/>
          <w:szCs w:val="24"/>
        </w:rPr>
        <w:t xml:space="preserve">принятие, вступление в силу, опубликование и прекращение действия.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не регулирует порядок принятия актов, связанных с кадровыми назначениями и организацией внутренней работы министерств и ведомств.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государственных органов, обладающие правовым характером (далее – акты), – это документы, регулирующие определенные отношения в соответствующей сфере, принимаемые в рамках компетенции государственных органов, установленной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органы принимают решение об оформлении и утверждении документа в виде акта, подпадающего под регулирование настоящим Порядком, при соответствии документа одному или всем нижеследующим критериям: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 принимается в рамках прямых полномочий государственных органов, установленных законами;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 принимается в рамках полномочий государственных органов, установленных в нормативных правовых актах Президента Кыргызской Республики и Кабинета Министров Кыргызской Республики, за исключением актов Кабинета Министров Кыргызской Республики о делегировании нормотворческих полномочий;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акт регулирует вопросы исключительно процедурного, инструктивного, методического характера;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акт регулирует вопросы исключительно технического характера, за исключением вопросов, связанных с утверждением: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являющихся предметом регулирования технических регламентов, строительных норм и правил безопасности;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процесса наладки и сдачи в эксплуатацию производственных объектов (оборудования);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процедур, направленных на соблюдение требований, которым должна соответствовать продукция (услуга);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регулирует правоотношения, затрагивающие ограниченный круг лиц.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tmi-05dktsjto-ot90n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Акты принимаются в виде приказов государственных органов.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Актами могут утверждаться: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инструкции;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методики;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правила;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другие виды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Акты распространяются на всех участников отношений в соответствующей сфере.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подготовки, согласования,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принятия, регистрации и опубликования актов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Разработка и оформление проектов актов осуществляется в соответствии с Инструкцией по разработке проектов подзаконных актов Кыргызской Республики, утвержденной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 акта подлежит согласованию с заинтересованными государственными органами, органами местного самоуправления и иными юридическими лицами.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согласовании проекта акта согласующему органу на государственном или официальном языке представляются нижеследующие документы: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сопроводительное письмо;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проект акта;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справка-обоснование к проекту акта;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сравнительная таблица к проекту акта (при внесении изменений в действующий акт).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согласования проекта акта не должен превышать шести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согласования орган-разработчик вправе доработать проект акта с учетом поступивших замечаний и предложений или не учитывать их либо приостановить дальнейшее продвижение проекта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окончательную редакцию проекта акта, его соответствие законодательству несут руководители государственных органов, разработавших проект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проект акта затрагивает интересы широкого круга лиц, государственный орган проводит общественное обсуждение проекта акта путем размещения проекта акта, справки-обоснования и сравнительной таблицы (в случае внесения изменений в нормативный правовой акт или новой редакции) к нему на Едином портале общественного обсуждения проектов нормативных правовых актов Кыргызской Республики (далее – Единый портал). Государственный орган вправе дополнительно проводить общественное обсуждение путем организации консультативных встреч, круглых столов и других информационных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Поступившие замечания и предложения подлежат обязательному рассмотрению государственным органом, разместившим проект акта для общественного обсуждения. Итоговая информация о поступивших замечаниях и предложениях с обоснованием причин учета либо неучета их в проекте акта отражается в справке-обосновании к проекту акта и размещается на Едином портале.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и прохождение процедуры общественного обсуждения проектов актов на Едином портале производится в соответствии с Порядком размещения и прохождения процедуры общественного обсуждения проектов нормативных правовых актов, определенным Кабинетом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общественного обсуждения составляет не менее 15 календарных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 необходимости проведения анализа регулятивного воздействия принимается государственными органами с учетом требований, предусмотренных в Законе «О нормативных правовых актах Кыргызской Республики».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принятия акта такой акт подлежит регистрации государственными органами, принявшими его.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акта осуществляется посредством внесения записи в отдельный журнал о регистрации актов на бумажном носителе и в автоматизированную систему «Государственная система электронного документооборота» (ГСЭД) с присвоением регистрационного номера и даты его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Акт подлежит обязательному опубликованию на государственном и официальном языках на сайтах государственных органов, принявших акт, за исключением актов, содержащих государственные секреты или информацию для служебного пользования.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в течение семи рабочих дней со дня принятия акта обеспечивают направление электронной версии принятого акта через систему электронного документооборота в Министерство юстиции Кыргызской Республики для включения в Централизованный банк данных правовой информации.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8vavny2thuhdxptity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вступления в силу,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внесение изменений, прекращение действия акта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Акт вступает в силу со дня его принятия, если</w:t>
      </w:r>
      <w:r>
        <w:rPr>
          <w:rFonts w:ascii="Arial" w:cs="Arial" w:eastAsia="Arial" w:hAnsi="Arial"/>
          <w:sz w:val="24"/>
          <w:szCs w:val="24"/>
        </w:rPr>
        <w:t xml:space="preserve">иное не предусмотрено в самом акте.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акта не распространяется на отношения, возникшие до его введения в действие.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Акты прекращают свое действие (полностью или в отдельной части) в следующих случаях: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акта государственного органа, признающего данный акт утратившим силу либо отменяющего его действие;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силу нормативного правового акта, нормам которого противоречат положения акта;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признание судом акта недействительным или внесение органами прокуратуры акта прокурорского реагирования в отношении акта, противоречащего законодательству;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акта, на который был рассчитан акт.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Признание акта недействительным влечет отмену его действия либо приведение такого акта (структурного элемента) в соответствие с нормативным правовым актом, имеющим более высокую юридическую силу.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2d_pgasjvwghat8l39b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 могут служить основанием для приостановления, отмены, признания утратившим силу либо приведения такого акта (структурного элемента) в соответствие с нормативным правовым актом, обладающим более высокой юридической силой.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(несогласия) акта прокурорского реагирования прокурор вправе обратиться в суд.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акта прокурорского реагирования на акты государственных органов определяется конституционным Законом Кыргызской Республики «О прокуратуре Кыргызской Республики/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humtobpqon2f-pxbmx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Кабинет Министров вправе принимать решения об отмене, приостановлении действия актов государственных органов.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Нормы актов, ухудшающие положение участников соответствующих отношений, установленных законодательством, либо принятые с нарушением настоящего Порядка, не применяются и подлежат отмене.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shlme-kroap3ky4aykot" Type="http://schemas.openxmlformats.org/officeDocument/2006/relationships/hyperlink" Target="http://kodeks.duckdns.org/document/230027754" TargetMode="External"/><Relationship Id="rId-lzyas8tve3k-5rvarpug" Type="http://schemas.openxmlformats.org/officeDocument/2006/relationships/hyperlink" Target="http://kodeks.duckdns.org/document/230049946" TargetMode="External"/><Relationship Id="rIdtmi-05dktsjto-ot90na2" Type="http://schemas.openxmlformats.org/officeDocument/2006/relationships/hyperlink" Target="http://kodeks.duckdns.org/document/230049946" TargetMode="External"/><Relationship Id="rIdb8vavny2thuhdxptityg5" Type="http://schemas.openxmlformats.org/officeDocument/2006/relationships/hyperlink" Target="http://kodeks.duckdns.org/document/230049946" TargetMode="External"/><Relationship Id="rIdj2d_pgasjvwghat8l39b8" Type="http://schemas.openxmlformats.org/officeDocument/2006/relationships/hyperlink" Target="http://kodeks.duckdns.org/document/230049946" TargetMode="External"/><Relationship Id="rIdzhumtobpqon2f-pxbmxek" Type="http://schemas.openxmlformats.org/officeDocument/2006/relationships/hyperlink" Target="http://kodeks.duckdns.org/document/23004994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2026-09-23T10:10:09.516Z</dcterms:created>
  <dcterms:modified xsi:type="dcterms:W3CDTF">2026-09-23T10:10:09.516Z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