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r>
        <w:rPr>
          <w:rFonts w:ascii="Arial" w:cs="Arial" w:eastAsia="Arial" w:hAnsi="Arial"/>
          <w:i/>
          <w:iCs/>
          <w:sz w:val="24"/>
          <w:szCs w:val="24"/>
        </w:rPr>
        <w:t xml:space="preserve">(к</w:t>
      </w:r>
      <w:hyperlink w:history="1" r:id="rId2t4ybcnutublz8wxymzna">
        <w:r>
          <w:rPr>
            <w:rFonts w:ascii="Arial" w:cs="Arial" w:eastAsia="Arial" w:hAnsi="Arial"/>
            <w:i/>
            <w:iCs/>
            <w:color w:val="1D4ED8"/>
            <w:sz w:val="24"/>
            <w:szCs w:val="24"/>
            <w:u w:val="single"/>
          </w:rPr>
          <w:t xml:space="preserve">распоряжению</w:t>
        </w:r>
      </w:hyperlink>
      <w:r>
        <w:rPr>
          <w:rFonts w:ascii="Arial" w:cs="Arial" w:eastAsia="Arial" w:hAnsi="Arial"/>
          <w:i/>
          <w:iCs/>
          <w:sz w:val="24"/>
          <w:szCs w:val="24"/>
        </w:rPr>
        <w:t xml:space="preserve">Кабинета Министров Кыргызской Республики
 от 27 мая 2025 года № 417-р)</w:t>
      </w:r>
    </w:p>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8"/>
          <w:szCs w:val="28"/>
        </w:rPr>
        <w:t xml:space="preserve">Положение о межведомственной экспертной группе по системной инвентаризации законодательства Кыргызской Республики (на предмет нормативной дебюрократизации)</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Г</w:t>
      </w:r>
      <w:r>
        <w:rPr>
          <w:rFonts w:ascii="Arial" w:cs="Arial" w:eastAsia="Arial" w:hAnsi="Arial"/>
          <w:b/>
          <w:bCs/>
          <w:sz w:val="24"/>
          <w:szCs w:val="24"/>
        </w:rPr>
        <w:t xml:space="preserve">лава 1. Общие положения</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Настоящее Положение направлено на регулирование правовых и организационных вопросов деятельности межведомственной экспертной группы по системной инвентаризации законодательства Кыргызской Республики (на предмет нормативной дебюрократизации) (далее – межведомственная экспертная группа). </w:t>
      </w:r>
    </w:p>
    <w:p>
      <w:pPr>
        <w:spacing w:after="120"/>
        <w:ind w:firstLine="709"/>
        <w:jc w:val="both"/>
      </w:pPr>
      <w:r>
        <w:rPr>
          <w:rFonts w:ascii="Arial" w:cs="Arial" w:eastAsia="Arial" w:hAnsi="Arial"/>
          <w:sz w:val="24"/>
          <w:szCs w:val="24"/>
        </w:rPr>
        <w:t xml:space="preserve">2. В своей работе межведомственная экспертная группа руководствуется </w:t>
      </w:r>
      <w:hyperlink w:history="1" r:id="rIdq0mmnulp3ftz3k8qgmvzu">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Кыргызской Республики, иными нормативными правовыми актами Кыргызской Республики, а также настоящим Положением. </w:t>
      </w:r>
    </w:p>
    <w:p>
      <w:pPr>
        <w:spacing w:after="120"/>
        <w:ind w:firstLine="709"/>
        <w:jc w:val="both"/>
      </w:pPr>
      <w:r>
        <w:rPr>
          <w:rFonts w:ascii="Arial" w:cs="Arial" w:eastAsia="Arial" w:hAnsi="Arial"/>
          <w:sz w:val="24"/>
          <w:szCs w:val="24"/>
        </w:rPr>
        <w:t xml:space="preserve">3. Организационное и координационное обеспечение деятельности межведомственной экспертной группы осуществляет Министерство юстиции Кыргызской Республики (далее – Министерство юстиции). </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Глава 2</w:t>
      </w:r>
      <w:r>
        <w:rPr>
          <w:rFonts w:ascii="Arial" w:cs="Arial" w:eastAsia="Arial" w:hAnsi="Arial"/>
          <w:b/>
          <w:bCs/>
          <w:sz w:val="24"/>
          <w:szCs w:val="24"/>
        </w:rPr>
        <w:t xml:space="preserve">. Цель и полномочия межведомственной экспертной группы</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 Межведомственная экспертная группа образуется в целях дебюрократизации законодательства и механизма правового регулирования, которая осуществляется на предмет:</w:t>
      </w:r>
    </w:p>
    <w:p>
      <w:pPr>
        <w:spacing w:after="120"/>
        <w:ind w:firstLine="709"/>
        <w:jc w:val="both"/>
      </w:pPr>
      <w:r>
        <w:rPr>
          <w:rFonts w:ascii="Arial" w:cs="Arial" w:eastAsia="Arial" w:hAnsi="Arial"/>
          <w:sz w:val="24"/>
          <w:szCs w:val="24"/>
        </w:rPr>
        <w:t xml:space="preserve">1) установления и закрепления в законах положений, определяющих основные концептуальные направления регулируемого вопроса; </w:t>
      </w:r>
    </w:p>
    <w:p>
      <w:pPr>
        <w:spacing w:after="120"/>
        <w:ind w:firstLine="709"/>
        <w:jc w:val="both"/>
      </w:pPr>
      <w:r>
        <w:rPr>
          <w:rFonts w:ascii="Arial" w:cs="Arial" w:eastAsia="Arial" w:hAnsi="Arial"/>
          <w:sz w:val="24"/>
          <w:szCs w:val="24"/>
        </w:rPr>
        <w:t xml:space="preserve">2) устранения излишней детализации нормативных предписаний в законах, которые делают процесс регулирования правовых отношений излишне бюрократическим; </w:t>
      </w:r>
    </w:p>
    <w:p>
      <w:pPr>
        <w:spacing w:after="120"/>
        <w:ind w:firstLine="709"/>
        <w:jc w:val="both"/>
      </w:pPr>
      <w:r>
        <w:rPr>
          <w:rFonts w:ascii="Arial" w:cs="Arial" w:eastAsia="Arial" w:hAnsi="Arial"/>
          <w:sz w:val="24"/>
          <w:szCs w:val="24"/>
        </w:rPr>
        <w:t xml:space="preserve">3) исключения в законах норм, регулирующих описательные процессы; </w:t>
      </w:r>
    </w:p>
    <w:p>
      <w:pPr>
        <w:spacing w:after="120"/>
        <w:ind w:firstLine="709"/>
        <w:jc w:val="both"/>
      </w:pPr>
      <w:r>
        <w:rPr>
          <w:rFonts w:ascii="Arial" w:cs="Arial" w:eastAsia="Arial" w:hAnsi="Arial"/>
          <w:sz w:val="24"/>
          <w:szCs w:val="24"/>
        </w:rPr>
        <w:t xml:space="preserve">4) выявления в законах норм инструктивного характера, которые необходимо регулировать подзаконными нормативными правовыми актами; </w:t>
      </w:r>
    </w:p>
    <w:p>
      <w:pPr>
        <w:spacing w:after="120"/>
        <w:ind w:firstLine="709"/>
        <w:jc w:val="both"/>
      </w:pPr>
      <w:r>
        <w:rPr>
          <w:rFonts w:ascii="Arial" w:cs="Arial" w:eastAsia="Arial" w:hAnsi="Arial"/>
          <w:sz w:val="24"/>
          <w:szCs w:val="24"/>
        </w:rPr>
        <w:t xml:space="preserve">5) определения функций государственных органов, которые могут быть переданы в целях минимизации коррупционных рисков на аутсорсинговую реализацию в частный сектор (частным субъектам) с сохранением за государственным органом функций мониторинга и контроля; </w:t>
      </w:r>
    </w:p>
    <w:p>
      <w:pPr>
        <w:spacing w:after="120"/>
        <w:ind w:firstLine="709"/>
        <w:jc w:val="both"/>
      </w:pPr>
      <w:r>
        <w:rPr>
          <w:rFonts w:ascii="Arial" w:cs="Arial" w:eastAsia="Arial" w:hAnsi="Arial"/>
          <w:sz w:val="24"/>
          <w:szCs w:val="24"/>
        </w:rPr>
        <w:t xml:space="preserve">6) закрепления норм, позволяющих обеспечить управленческую самостоятельность и ответственность государственного органа в рамках вырабатываемой политики; </w:t>
      </w:r>
    </w:p>
    <w:p>
      <w:pPr>
        <w:spacing w:after="120"/>
        <w:ind w:firstLine="709"/>
        <w:jc w:val="both"/>
      </w:pPr>
      <w:r>
        <w:rPr>
          <w:rFonts w:ascii="Arial" w:cs="Arial" w:eastAsia="Arial" w:hAnsi="Arial"/>
          <w:sz w:val="24"/>
          <w:szCs w:val="24"/>
        </w:rPr>
        <w:t xml:space="preserve">7) цифровизации деятельности соответствующих процессов в рамках регулируемого вопроса. </w:t>
      </w:r>
    </w:p>
    <w:p>
      <w:pPr>
        <w:spacing w:after="120"/>
        <w:ind w:firstLine="709"/>
        <w:jc w:val="both"/>
      </w:pPr>
      <w:r>
        <w:rPr>
          <w:rFonts w:ascii="Arial" w:cs="Arial" w:eastAsia="Arial" w:hAnsi="Arial"/>
          <w:sz w:val="24"/>
          <w:szCs w:val="24"/>
        </w:rPr>
        <w:t xml:space="preserve">5. К полномочиям межведомственной экспертной группы относятся: </w:t>
      </w:r>
    </w:p>
    <w:p>
      <w:pPr>
        <w:spacing w:after="120"/>
        <w:ind w:firstLine="709"/>
        <w:jc w:val="both"/>
      </w:pPr>
      <w:r>
        <w:rPr>
          <w:rFonts w:ascii="Arial" w:cs="Arial" w:eastAsia="Arial" w:hAnsi="Arial"/>
          <w:sz w:val="24"/>
          <w:szCs w:val="24"/>
        </w:rPr>
        <w:t xml:space="preserve">1) анализ законов и иных нормативных правовых актов в соответствии с критериями, определенными пунктом 4 настоящего Положения; </w:t>
      </w:r>
    </w:p>
    <w:p>
      <w:pPr>
        <w:spacing w:after="120"/>
        <w:ind w:firstLine="709"/>
        <w:jc w:val="both"/>
      </w:pPr>
      <w:r>
        <w:rPr>
          <w:rFonts w:ascii="Arial" w:cs="Arial" w:eastAsia="Arial" w:hAnsi="Arial"/>
          <w:sz w:val="24"/>
          <w:szCs w:val="24"/>
        </w:rPr>
        <w:t xml:space="preserve">2) рассмотрение проектов нормативных правовых актов, справки-обоснования и других материалов, прилагаемых к ним; </w:t>
      </w:r>
    </w:p>
    <w:p>
      <w:pPr>
        <w:spacing w:after="120"/>
        <w:ind w:firstLine="709"/>
        <w:jc w:val="both"/>
      </w:pPr>
      <w:r>
        <w:rPr>
          <w:rFonts w:ascii="Arial" w:cs="Arial" w:eastAsia="Arial" w:hAnsi="Arial"/>
          <w:sz w:val="24"/>
          <w:szCs w:val="24"/>
        </w:rPr>
        <w:t xml:space="preserve">3) обсуждение проектов нормативных правовых актов; </w:t>
      </w:r>
    </w:p>
    <w:p>
      <w:pPr>
        <w:spacing w:after="120"/>
        <w:ind w:firstLine="709"/>
        <w:jc w:val="both"/>
      </w:pPr>
      <w:r>
        <w:rPr>
          <w:rFonts w:ascii="Arial" w:cs="Arial" w:eastAsia="Arial" w:hAnsi="Arial"/>
          <w:sz w:val="24"/>
          <w:szCs w:val="24"/>
        </w:rPr>
        <w:t xml:space="preserve">4) по итогам рассмотрения принятие решения об одобрении либо отклонении проектов нормативных правовых актов; </w:t>
      </w:r>
    </w:p>
    <w:p>
      <w:pPr>
        <w:spacing w:after="120"/>
        <w:ind w:firstLine="709"/>
        <w:jc w:val="both"/>
      </w:pPr>
      <w:r>
        <w:rPr>
          <w:rFonts w:ascii="Arial" w:cs="Arial" w:eastAsia="Arial" w:hAnsi="Arial"/>
          <w:sz w:val="24"/>
          <w:szCs w:val="24"/>
        </w:rPr>
        <w:t xml:space="preserve">5) привлечение к работе межведомственной экспертной группы представителей других заинтересованных государственных органов, а также ученых, юристов и специалистов международных и общественных организаций.</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Глава 3. </w:t>
      </w:r>
      <w:r>
        <w:rPr>
          <w:rFonts w:ascii="Arial" w:cs="Arial" w:eastAsia="Arial" w:hAnsi="Arial"/>
          <w:b/>
          <w:bCs/>
          <w:sz w:val="24"/>
          <w:szCs w:val="24"/>
        </w:rPr>
        <w:t xml:space="preserve">Состав межведомственной экспертной группы. Полномочия председателя и обязанности членов межведомственной экспертной группы</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 Межведомственная экспертная группа возглавляется первым заместителем министра юстиции Кыргызской Республики. </w:t>
      </w:r>
    </w:p>
    <w:p>
      <w:pPr>
        <w:spacing w:after="120"/>
        <w:ind w:firstLine="709"/>
        <w:jc w:val="both"/>
      </w:pPr>
      <w:r>
        <w:rPr>
          <w:rFonts w:ascii="Arial" w:cs="Arial" w:eastAsia="Arial" w:hAnsi="Arial"/>
          <w:sz w:val="24"/>
          <w:szCs w:val="24"/>
        </w:rPr>
        <w:t xml:space="preserve">В состав межведомственной экспертной группы включаются заместители руководителей государственных органов исполнительной власти, курирующие нормотворческую деятельность или иные отраслевые направления работы органа исполнительной власти. </w:t>
      </w:r>
    </w:p>
    <w:p>
      <w:pPr>
        <w:spacing w:after="120"/>
        <w:ind w:firstLine="709"/>
        <w:jc w:val="both"/>
      </w:pPr>
      <w:r>
        <w:rPr>
          <w:rFonts w:ascii="Arial" w:cs="Arial" w:eastAsia="Arial" w:hAnsi="Arial"/>
          <w:sz w:val="24"/>
          <w:szCs w:val="24"/>
        </w:rPr>
        <w:t xml:space="preserve">7. Председатель межведомственной экспертной группы: </w:t>
      </w:r>
    </w:p>
    <w:p>
      <w:pPr>
        <w:spacing w:after="120"/>
        <w:ind w:firstLine="709"/>
        <w:jc w:val="both"/>
      </w:pPr>
      <w:r>
        <w:rPr>
          <w:rFonts w:ascii="Arial" w:cs="Arial" w:eastAsia="Arial" w:hAnsi="Arial"/>
          <w:sz w:val="24"/>
          <w:szCs w:val="24"/>
        </w:rPr>
        <w:t xml:space="preserve">1) осуществляет руководство деятельностью Межведомственной экспертной группы; </w:t>
      </w:r>
    </w:p>
    <w:p>
      <w:pPr>
        <w:spacing w:after="120"/>
        <w:ind w:firstLine="709"/>
        <w:jc w:val="both"/>
      </w:pPr>
      <w:r>
        <w:rPr>
          <w:rFonts w:ascii="Arial" w:cs="Arial" w:eastAsia="Arial" w:hAnsi="Arial"/>
          <w:sz w:val="24"/>
          <w:szCs w:val="24"/>
        </w:rPr>
        <w:t xml:space="preserve">2) ведет заседания межведомственной экспертной группы, в которых представляются итоги каждого этапа дебюрократизации законодательства и механизма правового регулирования. </w:t>
      </w:r>
    </w:p>
    <w:p>
      <w:pPr>
        <w:spacing w:after="120"/>
        <w:ind w:firstLine="709"/>
        <w:jc w:val="both"/>
      </w:pPr>
      <w:r>
        <w:rPr>
          <w:rFonts w:ascii="Arial" w:cs="Arial" w:eastAsia="Arial" w:hAnsi="Arial"/>
          <w:sz w:val="24"/>
          <w:szCs w:val="24"/>
        </w:rPr>
        <w:t xml:space="preserve">8. Член межведомственной экспертной группы обязан: </w:t>
      </w:r>
    </w:p>
    <w:p>
      <w:pPr>
        <w:spacing w:after="120"/>
        <w:ind w:firstLine="709"/>
        <w:jc w:val="both"/>
      </w:pPr>
      <w:r>
        <w:rPr>
          <w:rFonts w:ascii="Arial" w:cs="Arial" w:eastAsia="Arial" w:hAnsi="Arial"/>
          <w:sz w:val="24"/>
          <w:szCs w:val="24"/>
        </w:rPr>
        <w:t xml:space="preserve">1) присутствовать на заседаниях межведомственной экспертной группы; </w:t>
      </w:r>
    </w:p>
    <w:p>
      <w:pPr>
        <w:spacing w:after="120"/>
        <w:ind w:firstLine="709"/>
        <w:jc w:val="both"/>
      </w:pPr>
      <w:r>
        <w:rPr>
          <w:rFonts w:ascii="Arial" w:cs="Arial" w:eastAsia="Arial" w:hAnsi="Arial"/>
          <w:sz w:val="24"/>
          <w:szCs w:val="24"/>
        </w:rPr>
        <w:t xml:space="preserve">2) участвовать в голосовании по обсуждаемым вопросам; </w:t>
      </w:r>
    </w:p>
    <w:p>
      <w:pPr>
        <w:spacing w:after="120"/>
        <w:ind w:firstLine="709"/>
        <w:jc w:val="both"/>
      </w:pPr>
      <w:r>
        <w:rPr>
          <w:rFonts w:ascii="Arial" w:cs="Arial" w:eastAsia="Arial" w:hAnsi="Arial"/>
          <w:sz w:val="24"/>
          <w:szCs w:val="24"/>
        </w:rPr>
        <w:t xml:space="preserve">3) изучать надлежащим образом внесенные на рассмотрение межведомственной экспертной группы проекты нормативных правовых актов и, при наличии, представлять замечания и предложения по ним; </w:t>
      </w:r>
    </w:p>
    <w:p>
      <w:pPr>
        <w:spacing w:after="120"/>
        <w:ind w:firstLine="709"/>
        <w:jc w:val="both"/>
      </w:pPr>
      <w:r>
        <w:rPr>
          <w:rFonts w:ascii="Arial" w:cs="Arial" w:eastAsia="Arial" w:hAnsi="Arial"/>
          <w:sz w:val="24"/>
          <w:szCs w:val="24"/>
        </w:rPr>
        <w:t xml:space="preserve">4) заслушивать информацию по рассматриваемым проектам нормативных правовых актов.</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Глава 4. </w:t>
      </w:r>
      <w:r>
        <w:rPr>
          <w:rFonts w:ascii="Arial" w:cs="Arial" w:eastAsia="Arial" w:hAnsi="Arial"/>
          <w:b/>
          <w:bCs/>
          <w:sz w:val="24"/>
          <w:szCs w:val="24"/>
        </w:rPr>
        <w:t xml:space="preserve">Организация работы межведомственной экспертной группы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 Государственные органы исполнительной власти Кыргызской Республики, наделенные полномочиями по выработке политики в соответствующей сфере деятельности, вносят в Министерство юстиции проекты нормативных правовых актов, подготовленные в рамках дебюрократизации, для дальнейшего внесения на рассмотрение межведомственной экспертной группы с приложением следующих документов:</w:t>
      </w:r>
    </w:p>
    <w:p>
      <w:pPr>
        <w:spacing w:after="120"/>
        <w:ind w:firstLine="709"/>
        <w:jc w:val="both"/>
      </w:pPr>
      <w:r>
        <w:rPr>
          <w:rFonts w:ascii="Arial" w:cs="Arial" w:eastAsia="Arial" w:hAnsi="Arial"/>
          <w:sz w:val="24"/>
          <w:szCs w:val="24"/>
        </w:rPr>
        <w:t xml:space="preserve">1) справка-обоснование; </w:t>
      </w:r>
    </w:p>
    <w:p>
      <w:pPr>
        <w:spacing w:after="120"/>
        <w:ind w:firstLine="709"/>
        <w:jc w:val="both"/>
      </w:pPr>
      <w:r>
        <w:rPr>
          <w:rFonts w:ascii="Arial" w:cs="Arial" w:eastAsia="Arial" w:hAnsi="Arial"/>
          <w:sz w:val="24"/>
          <w:szCs w:val="24"/>
        </w:rPr>
        <w:t xml:space="preserve">2) сравнительная таблица (в случае внесения изменений и (или) дополнений в нормативный правовой акт или новой редакции); </w:t>
      </w:r>
    </w:p>
    <w:p>
      <w:pPr>
        <w:spacing w:after="120"/>
        <w:ind w:firstLine="709"/>
        <w:jc w:val="both"/>
      </w:pPr>
      <w:r>
        <w:rPr>
          <w:rFonts w:ascii="Arial" w:cs="Arial" w:eastAsia="Arial" w:hAnsi="Arial"/>
          <w:sz w:val="24"/>
          <w:szCs w:val="24"/>
        </w:rPr>
        <w:t xml:space="preserve">3) информация о сотруднике государственного органа, который является контактным лицом по доработке проекта нормативного правового акта. </w:t>
      </w:r>
    </w:p>
    <w:p>
      <w:pPr>
        <w:spacing w:after="120"/>
        <w:ind w:firstLine="709"/>
        <w:jc w:val="both"/>
      </w:pPr>
      <w:r>
        <w:rPr>
          <w:rFonts w:ascii="Arial" w:cs="Arial" w:eastAsia="Arial" w:hAnsi="Arial"/>
          <w:sz w:val="24"/>
          <w:szCs w:val="24"/>
        </w:rPr>
        <w:t xml:space="preserve">10. Межведомственная экспертная группа организует свою работу путем проведения заседаний. Заседания межведомственной экспертной группы проводятся по мере необходимости, но не реже одного раза в квартал. По решению председателя межведомственной экспертной группы заседание может проводиться в онлайн-формате. </w:t>
      </w:r>
    </w:p>
    <w:p>
      <w:pPr>
        <w:spacing w:after="120"/>
        <w:ind w:firstLine="709"/>
        <w:jc w:val="both"/>
      </w:pPr>
      <w:r>
        <w:rPr>
          <w:rFonts w:ascii="Arial" w:cs="Arial" w:eastAsia="Arial" w:hAnsi="Arial"/>
          <w:sz w:val="24"/>
          <w:szCs w:val="24"/>
        </w:rPr>
        <w:t xml:space="preserve">11. В заседаниях межведомственной экспертной группы также участвуют члены межведомственной экспертной группы, представляющие государственные органы, компетенция и сфера деятельности которых затрагивают рассматриваемые проекты нормативных правовых актов, перечень которых определяется Министерством юстиции по согласованию с государственным органом, к компетенции и сфере деятельности которого относятся вопросы, затрагиваемые проектами нормативных правовых актов. </w:t>
      </w:r>
    </w:p>
    <w:p>
      <w:pPr>
        <w:spacing w:after="120"/>
        <w:ind w:firstLine="709"/>
        <w:jc w:val="both"/>
      </w:pPr>
      <w:r>
        <w:rPr>
          <w:rFonts w:ascii="Arial" w:cs="Arial" w:eastAsia="Arial" w:hAnsi="Arial"/>
          <w:sz w:val="24"/>
          <w:szCs w:val="24"/>
        </w:rPr>
        <w:t xml:space="preserve">12. Межведомственная экспертная группа коллегиально обсуждает проекты нормативных правовых актов и принимает решение большинством голосов от числа присутствующих. В случае их отсутствия рассмотрение данного вопроса повестки дня заседания межведомственной экспертной группы переносится на следующее заседание. При равенстве голосов голос председателя межведомственной экспертной группы является определяющим. </w:t>
      </w:r>
    </w:p>
    <w:p>
      <w:pPr>
        <w:spacing w:after="120"/>
        <w:ind w:firstLine="709"/>
        <w:jc w:val="both"/>
      </w:pPr>
      <w:r>
        <w:rPr>
          <w:rFonts w:ascii="Arial" w:cs="Arial" w:eastAsia="Arial" w:hAnsi="Arial"/>
          <w:sz w:val="24"/>
          <w:szCs w:val="24"/>
        </w:rPr>
        <w:t xml:space="preserve">В случае если член межведомственной экспертной группы не может по уважительной причине присутствовать на заседании, государственный орган, представителем которого он является, обязан до начала заседания межведомственной экспертной группы информировать об этом Министерство юстиции и направить на заседание иного представителя, который будет письменно уполномочен голосовать от имени члена межведомственной экспертной группы. </w:t>
      </w:r>
    </w:p>
    <w:p>
      <w:pPr>
        <w:spacing w:after="120"/>
        <w:ind w:firstLine="709"/>
        <w:jc w:val="both"/>
      </w:pPr>
      <w:r>
        <w:rPr>
          <w:rFonts w:ascii="Arial" w:cs="Arial" w:eastAsia="Arial" w:hAnsi="Arial"/>
          <w:sz w:val="24"/>
          <w:szCs w:val="24"/>
        </w:rPr>
        <w:t xml:space="preserve">13. Проект повестки дня заседания межведомственной экспертной группы с соответствующими материалами представляется председателю межведомственной экспертной группы не позднее, чем за 3 рабочих дня до даты проведения заседания. </w:t>
      </w:r>
    </w:p>
    <w:p>
      <w:pPr>
        <w:spacing w:after="120"/>
        <w:ind w:firstLine="709"/>
        <w:jc w:val="both"/>
      </w:pPr>
      <w:r>
        <w:rPr>
          <w:rFonts w:ascii="Arial" w:cs="Arial" w:eastAsia="Arial" w:hAnsi="Arial"/>
          <w:sz w:val="24"/>
          <w:szCs w:val="24"/>
        </w:rPr>
        <w:t xml:space="preserve">Одобренный председателем межведомственной экспертной группы проект повестки дня заседания с соответствующими материалами направляется членам межведомственной экспертной группы не позднее, чем за 5 рабочих дней до даты проведения заседания. </w:t>
      </w:r>
    </w:p>
    <w:p>
      <w:pPr>
        <w:spacing w:after="120"/>
        <w:ind w:firstLine="709"/>
        <w:jc w:val="both"/>
      </w:pPr>
      <w:r>
        <w:rPr>
          <w:rFonts w:ascii="Arial" w:cs="Arial" w:eastAsia="Arial" w:hAnsi="Arial"/>
          <w:sz w:val="24"/>
          <w:szCs w:val="24"/>
        </w:rPr>
        <w:t xml:space="preserve">Повестка дня заседания межведомственной экспертной группы утверждается непосредственно на заседании большинством голосов от числа присутствующих членов межведомственной экспертной группы. Изменения в повестку дня заседания могут быть внесены по предложению членов межведомственной экспертной группы. </w:t>
      </w:r>
    </w:p>
    <w:p>
      <w:pPr>
        <w:spacing w:after="120"/>
        <w:ind w:firstLine="709"/>
        <w:jc w:val="both"/>
      </w:pPr>
      <w:r>
        <w:rPr>
          <w:rFonts w:ascii="Arial" w:cs="Arial" w:eastAsia="Arial" w:hAnsi="Arial"/>
          <w:sz w:val="24"/>
          <w:szCs w:val="24"/>
        </w:rPr>
        <w:t xml:space="preserve">14. Решения межведомственной экспертной группы оформляются протоколом. </w:t>
      </w:r>
    </w:p>
    <w:p>
      <w:pPr>
        <w:spacing w:after="120"/>
        <w:ind w:firstLine="709"/>
        <w:jc w:val="both"/>
      </w:pPr>
      <w:r>
        <w:rPr>
          <w:rFonts w:ascii="Arial" w:cs="Arial" w:eastAsia="Arial" w:hAnsi="Arial"/>
          <w:sz w:val="24"/>
          <w:szCs w:val="24"/>
        </w:rPr>
        <w:t xml:space="preserve">15. В целях организации качественной работы межведомственной экспертной группы решением Министерства юстиции формируются отдельные подгруппы межведомственной экспертной группы для организации работы по дебюрократизации в зависимости от рассматриваемых отраслевых законов и иных нормативных правовых актов. Формат и порядок деятельности данных подгрупп определяется решением Министерства юстиции. </w:t>
      </w:r>
    </w:p>
    <w:p>
      <w:pPr>
        <w:spacing w:after="120"/>
        <w:ind w:firstLine="709"/>
        <w:jc w:val="both"/>
      </w:pPr>
      <w:r>
        <w:rPr>
          <w:rFonts w:ascii="Arial" w:cs="Arial" w:eastAsia="Arial" w:hAnsi="Arial"/>
          <w:sz w:val="24"/>
          <w:szCs w:val="24"/>
        </w:rPr>
        <w:t xml:space="preserve">По итогам работы подгруппы его результаты выносятся на рассмотрение межведомственной экспертной группы. </w:t>
      </w:r>
    </w:p>
    <w:p>
      <w:pPr>
        <w:spacing w:after="120"/>
        <w:ind w:firstLine="709"/>
        <w:jc w:val="both"/>
      </w:pPr>
      <w:r>
        <w:rPr>
          <w:rFonts w:ascii="Arial" w:cs="Arial" w:eastAsia="Arial" w:hAnsi="Arial"/>
          <w:sz w:val="24"/>
          <w:szCs w:val="24"/>
        </w:rPr>
        <w:t xml:space="preserve">В случае принятия межведомственной экспертной группой решения об одобрении проектов нормативных правовых актов, соответствующий уполномоченный государственный орган обеспечивает внесение соответствующего проекта на рассмотрение Администрации Президента Кыргызской Республики в установленном порядке. </w:t>
      </w:r>
    </w:p>
    <w:p>
      <w:pPr>
        <w:spacing w:after="120"/>
        <w:ind w:firstLine="709"/>
        <w:jc w:val="both"/>
      </w:pPr>
      <w:r>
        <w:rPr>
          <w:rFonts w:ascii="Arial" w:cs="Arial" w:eastAsia="Arial" w:hAnsi="Arial"/>
          <w:sz w:val="24"/>
          <w:szCs w:val="24"/>
        </w:rPr>
        <w:t xml:space="preserve">16. Министерство юстиции в рамках координационной функции имеет право: </w:t>
      </w:r>
    </w:p>
    <w:p>
      <w:pPr>
        <w:spacing w:after="120"/>
        <w:ind w:firstLine="709"/>
        <w:jc w:val="both"/>
      </w:pPr>
      <w:r>
        <w:rPr>
          <w:rFonts w:ascii="Arial" w:cs="Arial" w:eastAsia="Arial" w:hAnsi="Arial"/>
          <w:sz w:val="24"/>
          <w:szCs w:val="24"/>
        </w:rPr>
        <w:t xml:space="preserve">1) осуществлять контроль за деятельностью межведомственной экспертной группы, выполнением принятых решений;</w:t>
      </w:r>
    </w:p>
    <w:p>
      <w:pPr>
        <w:spacing w:after="120"/>
        <w:ind w:firstLine="709"/>
        <w:jc w:val="both"/>
      </w:pPr>
      <w:r>
        <w:rPr>
          <w:rFonts w:ascii="Arial" w:cs="Arial" w:eastAsia="Arial" w:hAnsi="Arial"/>
          <w:sz w:val="24"/>
          <w:szCs w:val="24"/>
        </w:rPr>
        <w:t xml:space="preserve">2) вносить предложения в Администрацию Президента Кыргызской Республики по улучшению деятельности межведомственной экспертной группы; </w:t>
      </w:r>
    </w:p>
    <w:p>
      <w:pPr>
        <w:spacing w:after="120"/>
        <w:ind w:firstLine="709"/>
        <w:jc w:val="both"/>
      </w:pPr>
      <w:r>
        <w:rPr>
          <w:rFonts w:ascii="Arial" w:cs="Arial" w:eastAsia="Arial" w:hAnsi="Arial"/>
          <w:sz w:val="24"/>
          <w:szCs w:val="24"/>
        </w:rPr>
        <w:t xml:space="preserve">3) вносить в Администрацию Президента Кыргызской Республики представление о применении мер дисциплинарного взыскания к члену межведомственной экспертной группы за его отсутствие на заседании межведомственной экспертной группы без уважительных причин. </w:t>
      </w:r>
    </w:p>
    <w:p>
      <w:pPr>
        <w:spacing w:after="120"/>
        <w:ind w:firstLine="709"/>
        <w:jc w:val="both"/>
      </w:pPr>
      <w:r>
        <w:rPr>
          <w:rFonts w:ascii="Arial" w:cs="Arial" w:eastAsia="Arial" w:hAnsi="Arial"/>
          <w:sz w:val="24"/>
          <w:szCs w:val="24"/>
        </w:rPr>
        <w:t xml:space="preserve">17. За невыполнение требований настоящего Положения персональную ответственность несут руководители государственных органов.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t0tvgj7-qaaq2mlhxybu">
      <w:r>
        <w:rPr>
          <w:rFonts w:ascii="Arial" w:cs="Arial" w:eastAsia="Arial" w:hAnsi="Arial"/>
          <w:color w:val="132D3F"/>
          <w:sz w:val="16"/>
          <w:szCs w:val="16"/>
          <w:u w:val="single"/>
        </w:rPr>
        <w:t xml:space="preserve">dalil.kg/document/230028385</w:t>
      </w:r>
    </w:hyperlink>
  </w:p>
  <w:p>
    <w:pPr>
      <w:spacing w:after="0" w:before="40"/>
      <w:jc w:val="center"/>
    </w:pPr>
    <w:hyperlink w:history="1" r:id="rIdwtbutl2dho1lmzml8ej7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t4ybcnutublz8wxymzna" Type="http://schemas.openxmlformats.org/officeDocument/2006/relationships/hyperlink" Target="https://dalil.kg/document/230028384" TargetMode="External"/><Relationship Id="rIdq0mmnulp3ftz3k8qgmvzu" Type="http://schemas.openxmlformats.org/officeDocument/2006/relationships/hyperlink" Target="https://dalil.kg/document/11221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t0tvgj7-qaaq2mlhxybu" Type="http://schemas.openxmlformats.org/officeDocument/2006/relationships/hyperlink" Target="https://dalil.kg/document/230028385" TargetMode="External"/><Relationship Id="rIdwtbutl2dho1lmzml8ej7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2026-09-27T09:13:29.872Z</dcterms:created>
  <dcterms:modified xsi:type="dcterms:W3CDTF">2026-09-27T09:13:29.872Z</dcterms:modified>
</cp:coreProperties>
</file>

<file path=docProps/custom.xml><?xml version="1.0" encoding="utf-8"?>
<Properties xmlns="http://schemas.openxmlformats.org/officeDocument/2006/custom-properties" xmlns:vt="http://schemas.openxmlformats.org/officeDocument/2006/docPropsVTypes"/>
</file>