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июня 2025 года № 3</w:t>
      </w:r>
      <w:r>
        <w:rPr>
          <w:rFonts w:ascii="Arial" w:cs="Arial" w:eastAsia="Arial" w:hAnsi="Arial"/>
          <w:sz w:val="24"/>
          <w:szCs w:val="24"/>
        </w:rPr>
        <w:t xml:space="preserve">220</w:t>
      </w:r>
      <w:r>
        <w:rPr>
          <w:rFonts w:ascii="Arial" w:cs="Arial" w:eastAsia="Arial" w:hAnsi="Arial"/>
          <w:sz w:val="24"/>
          <w:szCs w:val="24"/>
        </w:rPr>
        <w:t xml:space="preserve">-VII 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принятии во втором чтении проекта Закона Кыргызской Республики «О ратификации Соглашения о финансировании (проект «Развитие устойчивого финансового рынка для микро-, малых и средних предприятий (ММСП) в Кыргызской Республике») между Кыргызской Республикой и Международной ассоциацией развития, подписанного 21 апреля 2025 года в городе Вашингтон»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«О ратификации Соглашения о финансировании (проект «Развитие устойчивого финансового рынка для микро-, малых и средних предприятий (ММСП) в Кыргызской Республике») между Кыргызской Республикой и Международной ассоциацией развития, подписанного 21 апреля 2025 года в городе Вашингтон», инициированный Председателем Кабинета Министров Кыргызской Республики (исх. № 18-6121 от 11 июня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Ж.Э. Садырбаева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nsj6f3qtktbtrlukn4o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dalil.kg/document/230029109</w:t>
      </w:r>
    </w:hyperlink>
  </w:p>
  <w:p>
    <w:pPr>
      <w:spacing w:after="0" w:before="40"/>
      <w:jc w:val="center"/>
    </w:pPr>
    <w:hyperlink w:history="1" r:id="rIdyq3kfijnebs9wswygoiw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nsj6f3qtktbtrlukn4oe" Type="http://schemas.openxmlformats.org/officeDocument/2006/relationships/hyperlink" Target="https://dalil.kg/document/230029109" TargetMode="External"/><Relationship Id="rIdyq3kfijnebs9wswygoiw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2026-09-27T11:21:15.138Z</dcterms:created>
  <dcterms:modified xsi:type="dcterms:W3CDTF">2026-09-27T11:21:15.138Z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