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nizrsotaagltnueiml8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
 от 1</w:t>
      </w:r>
      <w:r>
        <w:rPr>
          <w:rFonts w:ascii="Arial" w:cs="Arial" w:eastAsia="Arial" w:hAnsi="Arial"/>
          <w:sz w:val="24"/>
          <w:szCs w:val="24"/>
        </w:rPr>
        <w:t xml:space="preserve"> июля</w:t>
      </w:r>
      <w:r>
        <w:rPr>
          <w:rFonts w:ascii="Arial" w:cs="Arial" w:eastAsia="Arial" w:hAnsi="Arial"/>
          <w:sz w:val="24"/>
          <w:szCs w:val="24"/>
        </w:rPr>
        <w:t xml:space="preserve"> 2025 года № 3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выдачи и применения 
 учетно-контрольных марок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выдачи и применения учетно-контрольных марок в Кыргызской Республике (далее – Положение) определяет порядок выдачи и применения учетно-контрольных марок на территории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Положении используются следующие понятия: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импортер – налогоплательщик, осуществляющий ввоз на территорию Кыргызской Республики маркируемой продукции;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банк – коммерческий банк, заключивший договор на обслуживание с уполномоченным налоговым органом и имеющий лицензию или свидетельство Национального банка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маркируемая продукция – производимая на территории Кыргызской Республики и импортируемая на территорию Кыргызской Республики продукция, перечень которой утвержден Кабинетом Министров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номинальная стоимость учетно-контрольной марки – отпускная цена учетно-контрольной марки при реализации через уполномоченный банк;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электронно-информационный элемент – элемент на учетно-контрольной марке, определяемый электронными устройствами и/или программными приложениями, способный нести в себе информацию, позволяющий осуществлять идентификацию подлинности, а также несущий любую другую информацию, позволяющую налоговым органам вести сбор, производить учетный контроль;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 налоговой службы – уполномоченный налоговый орган и территориальные налоговые органы.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используемые в настоящем Положении, трактуются в значении, определенном Налоговым </w:t>
      </w:r>
      <w:hyperlink w:history="1" r:id="rIdytyx1ykxzlmhofv2guo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и/или Таможенным кодексом Евразийского экономического союза.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Организациям, индивидуальным предпринимателям и физическим лицам запрещается на территории Кыргызской Республики отгрузка и реализация маркируемой продукции, не обозначенной учетно-контрольной маркой, а также ввоз на территорию Кыргызской Республики, транспортировка, прием на комиссию или консигнацию маркируемой продукции без учетно-контрольной марки.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ввоз (пересылка) физическими лицами на территорию Кыргызской Республики маркируемой продукции, не обозначенной учетно-контрольными марками, в пределах норм, установленных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Маркировке учетно-контрольной маркой подлежат производимая на территории Кыргызской Республики и импортируемая на территорию Кыргызской Республики продукция, включенная в перечень, утвержденный Кабинетом Министров Кыргызской Республики. Маркировка продукции по видам, наименованиям и емкости производится в соответствии с типами и номерами учетно-контрольных марок, указанными в решении органа налоговой службы, о выдаче учетно-контрольных марок.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Кабинетом Министров Кыргызской Республики определяются сроки обязательной маркировки и запрета на оборот немаркированной учетно-контрольной маркой продукции.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Маркируемая продукция, произведенная налогоплательщиком для экспорта, не подлежит маркировке учетно-контрольными марками при отправке на экспорт. Запрещается реализация на территории Кыргызской Республики продукции, подлежащей маркировке (в том числе приобретенной на товарообменной основе или с использованием давальческого сырья), произведенной на территории Кыргызской Республики для экспорта и не обозначенной учетно-контрольными марками.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Наличие учетно-контрольной марки на бутылке, пачке или другой таре, в которую разлита или расфасована маркируемая продукция, является одним из необходимых условий для ее реализации потребителям, транспортировки по территории Кыргызской Республики (кроме международного транзита) и хранения (кроме хранения производителем до маркировки изделий согласно технологическому процессу или хранения для вывоза с территории Кыргызской Республики).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Маркировка осуществляется способом, исключающим повторное использование учетно-контрольных марок. Маркировка осуществляется на крышку или место, предназначенное для открытия продукции. При нанесении учетно-контрольных марок должен использоваться клей, не позволяющий снять учетно-контрольную марку с товара без ее повреждения.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Продукция, маркированная с отклонением от требований настоящего Положения, рассматривается как немаркированная.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Учетно-контрольные марки изготавливаются по заказу уполномоченного налогового органа согласно договору (контракту), заключенному с поставщиком, в соответствии с законодательством Кыргызской Республики в сфере государственных закупок. Форма и образцы учетно-контрольных марок разрабатываются уполномоченным налоговым органом совместно с поставщиком. Форма и образцы учетно-контрольных марок утверждаются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Учетно-контрольные марки выдаются через банковскую систему Кыргызской Республики для применения на территории Кыргызской Республики, а также направляются за рубеж непосредственно на заводы-производители маркируемой продукции.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Учетно-контрольные марки, приобретенные для обозначения маркируемой продукции, производимой на территории Кыргызской Республики, и отправленные за рубеж заводу-производителю, используются для маркировки после завершения технологического процесса производства маркируемой продукции.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Учетно-контрольные марки, приобретенные в уполномоченном банке, для наклейки за рубежом на заводе-производителе маркируемой продукции вывозятся с территории Кыргызской Республики без взимания таможенных платежей под таможенной процедурой экспорта.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Оплата стоимости учетно-контрольных марок налогоплательщиком производится путем перечисления денежных средств на счет изготовителя в уполномоченном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выдачи учетно-контрольных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банк выдает налогоплательщику учетно-контрольные марки только после уплаты им номинальной стоимости учетно-контрольных марок.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Номинальная стоимость учетно-контрольной марки определяется уполномоченным органом по антимонопольному регулированию.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Реализация учетно-контрольных марок налогоплательщику производится путем выдачи марок через уполномоченный банк или отправки учетно-контрольных марок непосредственно на завод-производитель маркируемой продукции. Маркируемая продукция, ввозимая из государств – членов Евразийского экономического союза, подлежит маркировке исключительно на заводе-производителе маркируемой продукции.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выдаче учетно-контрольных марок уполномоченным банком принимается территориальным налоговым органом при представлении следующих документов: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заявление-расчет (в двух экземплярах согласно </w:t>
      </w:r>
      <w:hyperlink w:history="1" r:id="rIdm-ckkyljlkvud0onvfw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с указанием наименований производимых и/или импортируемых маркируемых товаров. Один экземпляр заявления-расчета маркируемой продукции возвращается налогоплательщику, второй экземпляр остается в органе налоговой службы;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лицензии на ввоз и/или реализацию маркируемой продукции (для лицензируемых видов продукции);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и оригинал платежных документов, подтверждающих уплату номинальной стоимости учетно-контрольных марок на все количество маркируемой продукции. Копии платежных документов остаются в органе налоговой службы, оригиналы платежных документов возвращаются налогоплательщику;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инвойсы на ввозимую маркируемую продукцию, оригинал и заверенная налогоплательщиком копия договора на поставку маркируемой продукции единожды при первоначальной подаче заявки по данному договору на период его действия. Копия договора остается в органе налоговой службы, оригинал возвращается налогоплательщику.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отправке учетно-контрольных марок на зарубежный завод-производитель маркируемой продукции принимается уполномоченным налоговым органом. При этом, кроме документов, предусмотренных в абзацах третьем–шестом настоящего пункта, налогоплательщиком представляется письмо с просьбой направить учетно-контрольные марки на завод-производитель маркируемой продукции с подробным указанием его точных реквизитов.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выдаче учетно-контрольных марок на импортируемую маркируемую продукцию уполномоченным банком составляется в трех экземплярах по форме, утверждаемой уполномоченным налоговым органом. Учетно-контрольные марки выдаются уполномоченным банком налогоплательщику согласно порядковым номерам учетно-контрольных марок, указанным в решении. Первый экземпляр решения органа налоговой службы остается в уполномоченном банке, второй –у налогоплательщика, третий – в органе налоговой службы.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налогоплательщиками осуществляются пересчет и сверка диапазона полученных номеров учетно-контрольных марок с диапазоном номеров, указанных в решении налогового органа.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осуществляют учет и контроль за исполнением производителями и импортерами обязательств по уплате налогов за маркируемую продукцию.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об отправке учетно-контрольных марок на зарубежный завод-производитель маркируемой продукции составляется в двух экземплярах: первый экземпляр решения органа налоговой службы остается в уполномоченном налоговом органе, второй – у налогоплательщика. При этом уполномоченным налоговым органом направляется письмо-заказ компании-изготовителю учетно-контрольных марок об отправке соответствующей партии учетно-контрольных марок на зарубежный завод-производитель маркируемой продукции.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отправке учетно-контрольных марок на зарубежный завод-производитель маркируемой продукции датой приобретения учетно-контрольных марок является дата принятия уполномоченным налоговым органом решения об отправке учетно-контрольных марок на зарубежный завод-производитель маркируемой продукции.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маркировки продукции, разлитой или расфасованной в большие емкости, при оформлении заявления на покупку 
 учетно-контрольных марок налогоплательщик предоставляет подтверждение об уплате номинальной стоимости учетно-контрольных марок. После подтверждения объема продукции органами налоговой службы, подлежащего маркировке, и уплаты номинальной стоимости учетно-контрольных марок орган налоговой службы принимает решение о выдаче учетно-контрольных марок.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об отправке учетно-контрольных марок на зарубежный завод-производитель маркируемой продукции принимается органом налоговой службы в течение трех рабочих дней со дня представления налогоплательщиком документов, предусмотренных пунктом 15 настоящего Положения.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на момент оформления заявления-расчета на приобретение учетно-контрольных марок в уполномоченном банке нет учетно-контрольных марок необходимого типа или емкости, или требуемые учетно-контрольные марки не были указаны в заказе на производство, то возможна реализация учетно-контрольных марок, находящихся в наличии в уполномоченном банке. Для этого уполномоченный налоговый орган направляет письменное разрешение на обозначение маркируемой продукции имеющимися учетно-контрольными марками с указанием типа, емкости и наименования маркируемой продукции налогоплательщику-покупателю учетно-контрольных марок, в уполномоченный банк, орган налоговой службы по месту налоговой регистрации налогоплательщика-покупателя учетно-контрольных марок, уполномоченные государственные органы в сфере таможенного дела.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Органы налоговой службы контролируют представление налогоплательщиком, производящим или импортирующим маркируемую продукцию, расчетов и иных документов для исчисления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учета и хранения учетно-контрольных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Учетно-контрольные марки являются специальными государственными бланками, а также средством идентификации.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Учетно-контрольные марки изготавливаются на бумажных листах, имеют соответствующие формы и размеры в зависимости от вида маркируемой продукции, один или несколько защитных элементов, наименование и изображение Государственного герба Кыргызской Республики, порядковый номер, электронно-информационный элемент и серию, определяющую вид продукции и диапазон применяемых емкостей.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обеспечения сохранности учетно-контрольных марок налогоплательщик обязан выделить специальное помещение или хранить их в несгораемых ящиках (сейфах).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Учетно-контрольные марки приходуются на складе предприятия по номинальной стоимости, уплаченной на специальный блокированный счет в уполномоченном банке, без включения в нее расходов по транспортировке.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предприятиях, применяющих учетно-контрольные марки, приказом руководителя назначается должностное лицо, ответственное за сохранность учетно-контрольных марок. Должностное лицо выдает 
 учетно-контрольные марки для обозначения продукции под подпись и ведет учет отгруженной продукции и выданных марок с фиксацией типа, емкости, наименования, номеров учетно-контрольных марок и фамилии их получателя.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Налогоплательщик, получивший учетно-контрольные марки, обязан ежеквартально предоставлять отчет о надлежащем использовании учетно-контрольных марок в Кыргызской Республике согласно приложению 2 к настоящему Положению.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Органы налоговой службы обязаны постоянно осуществлять контроль за правильностью списания учетно-контрольных марок на предприятиях-производителях (для чего производят при необходимости инвентаризацию наличия учетно-контрольных марок), сопоставлять количество списанных учетно-контрольных марок с количеством выпущенной и реализованной продукции в бутылках или другой таре.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Возврат неиспользованных и испорченных в процессе наклейки учетно-контрольных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прекращения производства/импорта маркируемой продукции производитель/импортер обязан вернуть все неиспользованные учетно-контрольные марки в уполномоченный банк.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процедуры возврата неиспользованных учетно-контрольных марок производитель/импортер маркируемой продукции обязан в орган налоговой службы по месту получения учетно-контрольных марок представить следующие документы: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письменное заявление с указанием причин возврата учетно-контрольных марок и просьбой разрешить повторно использовать уплаченную номинальную стоимость при следующей покупке учетно-контрольных марок;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реестр с указанием серий, определяющих вид маркируемой продукции, емкостей и порядковых номеров, возвращаемых учетно-контрольных марок на бумажном и электронном носителе;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экземпляр решения о выдаче учетно-контрольных марок.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налоговой службы в месячный срок производит проверку вышеперечисленных документов и принимает решение о возврате учетно-контрольных марок в уполномоченный банк, которое составляется в трех экземплярах. Первый экземпляр решения о возврате учетно-контрольных марок остается в уполномоченном банке, второй – у покупателя учетно-контрольных марок, третий – в органе налоговой службы.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Возврат номинальной стоимости неиспользованных учетно-контрольных марок производится уполномоченным банком в недельный срок по согласованию с соответствующим органом налоговой службы.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порчи учетно-контрольных марок в процессе наклейки на заводе-изготовителе маркируемой продукции составляется акт с указанием причин порчи, количества и типов испорченных учетно-контрольных марок. Производитель/импортер обязан вернуть испорченные учетно-контрольные марки в уполномоченный банк.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процедуры возврата производитель/импортер обязан представить в орган налоговой службы по месту получения учетно-контрольных марок следующие документы: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акт о порче учетно-контрольных марок;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реестр с указанием серий, определяющих вид маркируемой продукции, емкостей и порядковых номеров, возвращаемых испорченных учетно-контрольных марок на бумажном и электронном носителе.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налоговой службы в месячный срок производит проверку вышеперечисленных документов и принимает решение о возврате испорченных учетно-контрольных марок в уполномоченный банк, которое составляется в трех экземплярах по форме, утверждаемой органом налоговой службы. Первый экземпляр решения о возврате учетно-контрольных марок остается в уполномоченном банке, второй – у налогоплательщика, третий – в органе налоговой службы.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Учетно-контрольные марки, на которых серии, определяющие вид продукции, емкости, диапазон цен и порядковые номера, визуально полностью не просматриваются и электронно-информационный элемент не идентифицируется, не подлежат возврату в уполномоченный банк.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Учетно-контрольные марки, непригодные для обозначения маркируемой продукции, подлежат комиссионному уничтожению уполномоченным банком при участии представителей соответствующего органа налоговой службы и производителя/импортера.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порчи или утраты произведенных маркируемых товаров номинальная стоимость уплачивается в полном размере и/или не подлежит возврату, за исключением случаев, возникших в результате непреодолимой силы. При утрате учетно-контрольных марок не подлежит возврату номинальная стоимость, уплаченная до или в момент приобретения учетно-контрольных марок, за исключением случаев, возникших в результате непреодолимой силы.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обнаружения производственного брака налогоплательщик составляет акт об обнаружении бракованных учетно-контрольных марок в присутствии руководителя, главного бухгалтера и лица, ответственного за сохранность учетно-контрольных марок, указывает тип и номера учетно-контрольных марок, номер коробки, а также фотографирует обнаруженные бракованные марки. Далее налогоплательщик предоставляет в орган налоговой службы акт об обнаружении бракованных марок, копию квитанции уплаченной номинальной стоимости при покупке учетно-контрольных марок и фотографии бракованных марок. Органы налоговой службы в недельный срок передают материалы в уполномоченный налоговый орган для последующей передачи компании-изготовителю учетно-контрольных марок для изучения. В случае подтверждения компанией-изготовителем наличия брака налогоплательщик вправе получить учетно-контрольные марки взамен бракованного количества без уплаты номинальной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5. Контроль за маркировкой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Маркировка учетно-контрольными марками производимой и импортируемой продукции на территории Кыргызской Республики из государств-членов Евразийского экономического союза осуществляется под налоговым контролем, с территории третьих стран – под таможенным контролем (в том числе на территории таможенного склада и складах временного хранения, включенных в реестр, утверждаемый уполномоченным органом в сфере таможенного дела).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Контроль за наличием и подлинностью учетно-контрольных марок на маркируемой продукции, находящейся в торговой сети (розничной и оптовой), осуществляется органами налоговой службы.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Организации, индивидуальные предприниматели и физические лица, производящие, импортирующие либо реализующие немаркированную маркируемую продукцию на территории Кыргызской Республики, несут ответственность в соответствии с </w:t>
      </w:r>
      <w:hyperlink w:history="1" r:id="rIddrvi91laznlct3whhnx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</w:t>
      </w:r>
      <w:hyperlink w:history="1" r:id="rIdb2dqeqavgewt5tcpnyz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8"/>
          <w:szCs w:val="28"/>
        </w:rPr>
        <w:t xml:space="preserve">Приложение 1</w:t>
      </w:r>
      <w:r>
        <w:rPr>
          <w:rFonts w:ascii="Arial" w:cs="Arial" w:eastAsia="Arial" w:hAnsi="Arial"/>
          <w:sz w:val="28"/>
          <w:szCs w:val="28"/>
        </w:rPr>
        <w:t xml:space="preserve">
 к Положению о порядке </w:t>
      </w:r>
    </w:p>
    <w:p>
      <w:pPr>
        <w:spacing w:after="120"/>
        <w:jc w:val="left"/>
      </w:pPr>
      <w:r>
        <w:rPr>
          <w:rFonts w:ascii="Arial" w:cs="Arial" w:eastAsia="Arial" w:hAnsi="Arial"/>
          <w:sz w:val="28"/>
          <w:szCs w:val="28"/>
        </w:rPr>
        <w:t xml:space="preserve">выдачи и применения 
 учетно-контрольных марок </w:t>
      </w:r>
    </w:p>
    <w:p>
      <w:pPr>
        <w:spacing w:after="120"/>
        <w:jc w:val="left"/>
      </w:pPr>
      <w:r>
        <w:rPr>
          <w:rFonts w:ascii="Arial" w:cs="Arial" w:eastAsia="Arial" w:hAnsi="Arial"/>
          <w:sz w:val="28"/>
          <w:szCs w:val="28"/>
        </w:rPr>
        <w:t xml:space="preserve">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органа налоговой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Заявление-расчет
 на покупку учетно-контрольных марок
 от «___» _______________ 20___ года № ______
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(заполняется налоговым органом)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8"/>
        <w:gridCol w:w="6740"/>
      </w:tblGrid>
      <w:tr>
        <w:tc>
          <w:tcPr>
            <w:tcW w:type="dxa" w:w="3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налогоплательщика</w:t>
            </w:r>
          </w:p>
        </w:tc>
        <w:tc>
          <w:tcPr>
            <w:tcW w:type="dxa" w:w="6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Юридический адрес и телефон</w:t>
            </w:r>
          </w:p>
        </w:tc>
        <w:tc>
          <w:tcPr>
            <w:tcW w:type="dxa" w:w="6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ИНН</w:t>
            </w:r>
          </w:p>
        </w:tc>
        <w:tc>
          <w:tcPr>
            <w:tcW w:type="dxa" w:w="6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1291"/>
        <w:gridCol w:w="727"/>
        <w:gridCol w:w="1423"/>
        <w:gridCol w:w="995"/>
        <w:gridCol w:w="932"/>
        <w:gridCol w:w="1514"/>
        <w:gridCol w:w="1183"/>
        <w:gridCol w:w="1582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маркируемой продукции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марок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Емкость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 марке)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Емкость тары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приобретаемых учетно-контрольных марок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Облагаемый объем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Номинальная стоимость учетно-контрольных марок (сомов)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8"/>
          <w:szCs w:val="28"/>
        </w:rPr>
        <w:t xml:space="preserve">Номинальная стоимость марок уплачена на счет № _________________ согласно платежному документу от «___» ______________ 20__ года № _____</w:t>
      </w:r>
      <w:r>
        <w:rPr>
          <w:rFonts w:ascii="Arial" w:cs="Arial" w:eastAsia="Arial" w:hAnsi="Arial"/>
          <w:sz w:val="28"/>
          <w:szCs w:val="28"/>
        </w:rPr>
        <w:t xml:space="preserve">в сумме __________________________________________</w:t>
      </w:r>
      <w:r>
        <w:rPr>
          <w:rFonts w:ascii="Arial" w:cs="Arial" w:eastAsia="Arial" w:hAnsi="Arial"/>
          <w:sz w:val="28"/>
          <w:szCs w:val="28"/>
        </w:rPr>
        <w:t xml:space="preserve">_</w:t>
      </w:r>
      <w:r>
        <w:rPr>
          <w:rFonts w:ascii="Arial" w:cs="Arial" w:eastAsia="Arial" w:hAnsi="Arial"/>
          <w:sz w:val="28"/>
          <w:szCs w:val="28"/>
        </w:rPr>
        <w:t xml:space="preserve"> сомов.
 </w:t>
      </w:r>
      <w:r>
        <w:rPr>
          <w:rFonts w:ascii="Arial" w:cs="Arial" w:eastAsia="Arial" w:hAnsi="Arial"/>
          <w:sz w:val="24"/>
          <w:szCs w:val="24"/>
        </w:rPr>
        <w:t xml:space="preserve"> (прописью)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М.</w:t>
      </w:r>
      <w:r>
        <w:rPr>
          <w:rFonts w:ascii="Arial" w:cs="Arial" w:eastAsia="Arial" w:hAnsi="Arial"/>
          <w:sz w:val="28"/>
          <w:szCs w:val="28"/>
        </w:rPr>
        <w:t xml:space="preserve">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 </w:t>
      </w:r>
      <w:r>
        <w:rPr>
          <w:rFonts w:ascii="Arial" w:cs="Arial" w:eastAsia="Arial" w:hAnsi="Arial"/>
          <w:sz w:val="28"/>
          <w:szCs w:val="28"/>
        </w:rPr>
        <w:t xml:space="preserve">Положению о порядке выдачи и применения учетно-контрольных марок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
 о надлежащем использовании учетно-контрольных марок в Кыргызской Республике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8"/>
          <w:szCs w:val="28"/>
        </w:rPr>
        <w:t xml:space="preserve">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(наименование, ИНН и адрес местонахождения импортера, осуществляющего
 производство, ввоз (импорт) маркируемой продукции)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"/>
        <w:gridCol w:w="1049"/>
        <w:gridCol w:w="735"/>
        <w:gridCol w:w="841"/>
        <w:gridCol w:w="880"/>
        <w:gridCol w:w="802"/>
        <w:gridCol w:w="735"/>
        <w:gridCol w:w="735"/>
        <w:gridCol w:w="736"/>
        <w:gridCol w:w="736"/>
        <w:gridCol w:w="734"/>
        <w:gridCol w:w="734"/>
        <w:gridCol w:w="575"/>
        <w:gridCol w:w="575"/>
      </w:tblGrid>
      <w:tr>
        <w:tc>
          <w:tcPr>
            <w:tcW w:type="dxa" w:w="3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решения на полу-чение учетно-контроль-ных марок</w:t>
            </w:r>
          </w:p>
        </w:tc>
        <w:tc>
          <w:tcPr>
            <w:tcW w:type="dxa" w:w="7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реше-ния на полу-чение учет-но-кон-троль-ных марок </w:t>
            </w:r>
          </w:p>
        </w:tc>
        <w:tc>
          <w:tcPr>
            <w:tcW w:type="dxa" w:w="8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мар-кируе-мой про-дукции</w:t>
            </w:r>
          </w:p>
        </w:tc>
        <w:tc>
          <w:tcPr>
            <w:tcW w:type="dxa" w:w="8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Наиме-нование марки-руемой продук-ции, на которую исполь-зованы учетно-кон-троль-ные марки </w:t>
            </w:r>
          </w:p>
        </w:tc>
        <w:tc>
          <w:tcPr>
            <w:tcW w:type="dxa" w:w="8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Ем-кость (на марке)</w:t>
            </w:r>
          </w:p>
        </w:tc>
        <w:tc>
          <w:tcPr>
            <w:tcW w:type="dxa" w:w="14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Выдано учетно-контрольных марок</w:t>
            </w:r>
          </w:p>
        </w:tc>
        <w:tc>
          <w:tcPr>
            <w:tcW w:type="dxa" w:w="14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Использовано учетно-контрольных марок для маркировки маркируемой продукции</w:t>
            </w:r>
          </w:p>
        </w:tc>
        <w:tc>
          <w:tcPr>
            <w:tcW w:type="dxa" w:w="14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Возвращено в налоговый орган испорченных и (или) неисполь-зованных учетно-контрольных марок</w:t>
            </w:r>
          </w:p>
        </w:tc>
        <w:tc>
          <w:tcPr>
            <w:tcW w:type="dxa" w:w="11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неисполь-зованных учетно-контроль-ных марок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и диапа-зон номе-ров учет-но-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троль-ных марок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коли-чес-тво (штук)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диа-пазон номе-ров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коли-чество (штук)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диа-пазон номе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ров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коли-чество (штук)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диа-пазон номе-ров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коли-чество (штук)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Всего выдано _______ штук учетно-контрольных марок,</w:t>
      </w:r>
      <w:r>
        <w:rPr>
          <w:rFonts w:ascii="Arial" w:cs="Arial" w:eastAsia="Arial" w:hAnsi="Arial"/>
          <w:sz w:val="28"/>
          <w:szCs w:val="28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использовано для маркировки _______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возвращено _______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остаток _______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Приложение к отчету на _____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________________________
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Главный бухгалтер
 </w:t>
      </w:r>
      <w:r>
        <w:rPr>
          <w:rFonts w:ascii="Arial" w:cs="Arial" w:eastAsia="Arial" w:hAnsi="Arial"/>
          <w:sz w:val="24"/>
          <w:szCs w:val="24"/>
        </w:rPr>
        <w:t xml:space="preserve">(при его наличии)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________________________
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 М.</w:t>
      </w:r>
      <w:r>
        <w:rPr>
          <w:rFonts w:ascii="Arial" w:cs="Arial" w:eastAsia="Arial" w:hAnsi="Arial"/>
          <w:sz w:val="28"/>
          <w:szCs w:val="28"/>
        </w:rPr>
        <w:t xml:space="preserve">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dmd_lag4wqmoz7sgj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dalil.kg/document/230029118</w:t>
      </w:r>
    </w:hyperlink>
  </w:p>
  <w:p>
    <w:pPr>
      <w:spacing w:after="0" w:before="40"/>
      <w:jc w:val="center"/>
    </w:pPr>
    <w:hyperlink w:history="1" r:id="rIdohdakfm-kb3qx2qwt9b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zrsotaagltnueiml816" Type="http://schemas.openxmlformats.org/officeDocument/2006/relationships/hyperlink" Target="https://dalil.kg/document/230029108" TargetMode="External"/><Relationship Id="rIdytyx1ykxzlmhofv2guoy6" Type="http://schemas.openxmlformats.org/officeDocument/2006/relationships/hyperlink" Target="https://dalil.kg/document/112340" TargetMode="External"/><Relationship Id="rIdm-ckkyljlkvud0onvfwb6" Type="http://schemas.openxmlformats.org/officeDocument/2006/relationships/hyperlink" Target="https://dalil.kg/document/230029118#pr1" TargetMode="External"/><Relationship Id="rIddrvi91laznlct3whhnxc_" Type="http://schemas.openxmlformats.org/officeDocument/2006/relationships/hyperlink" Target="https://dalil.kg/document/112306" TargetMode="External"/><Relationship Id="rIdb2dqeqavgewt5tcpnyzk6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dmd_lag4wqmoz7sgjuh" Type="http://schemas.openxmlformats.org/officeDocument/2006/relationships/hyperlink" Target="https://dalil.kg/document/230029118" TargetMode="External"/><Relationship Id="rIdohdakfm-kb3qx2qwt9b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2026-09-24T23:37:41.141Z</dcterms:created>
  <dcterms:modified xsi:type="dcterms:W3CDTF">2026-09-24T23:37:41.141Z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