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i_hh_l2y0qs5vkuxjb8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строительства, архитектуры и жилищно-коммунального хозяйства КР от 2 июля 2025 года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 предоставления технических условий и порядка подключения к сетям инженерно-технического обеспечения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jdzoihtlwz-wul0y1ld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xgogxp9hggzdlgshex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2025 года № 102-нпа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Настоящие Правила регулируют отношения, возникающие между организациями, осуществляющими подключение, эксплуатацию и техническое обслуживание сетей инженерно-технического обеспечения, органами местного самоуправления, государственными органами, а также физическими и юридическими лицами, независимо от их организационно-правовой формы, в процессе определения и предоставления технических условий, подключения объектов нового строительства, реконструкции, перепрофилирования, перепланировки, а также ранее построенных, но не подключенных объектов к сетям электроснабжения, теплоснабжения, газоснабжения, водоснабжения, водоотведения (канализации), </w:t>
      </w:r>
      <w:r>
        <w:rPr>
          <w:rFonts w:ascii="Arial" w:cs="Arial" w:eastAsia="Arial" w:hAnsi="Arial"/>
          <w:sz w:val="24"/>
          <w:szCs w:val="24"/>
        </w:rPr>
        <w:t xml:space="preserve">ирригации</w:t>
      </w:r>
      <w:r>
        <w:rPr>
          <w:rFonts w:ascii="Arial" w:cs="Arial" w:eastAsia="Arial" w:hAnsi="Arial"/>
          <w:sz w:val="24"/>
          <w:szCs w:val="24"/>
        </w:rPr>
        <w:t xml:space="preserve"> телефонии и другим видам связи, а также определения балансовой принадлежности сетей с учетом изменения подключаемой мощности.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18wo2g6x9evpiwhee27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2025 года № 102-нпа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Настоящие Правила применяются также в случаях, когда в результате строительства (реконструкции) сетей инженерно-технического обеспечения либо оборудования по производству ресурсов требуется временное или постоянное подключение к технологически связанным сетям инженерно-технического обеспечения.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Настоящие Правила устанавливают порядок получения технических условий и подключения объектов к сетям инженерно-технического обеспечения, который включает в себя три этапа: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получение технических условий на подключение к сетям инженерно-технического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заключение договоров на подключение к сетям инженерно-технического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заключение договоров на поставку ресурса и техническое обслуживание.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Понятия, применяемые в настоящих Правилах, а также в процессе получения технических условий и осуществления технологического присоединения: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абонент</w:t>
      </w:r>
      <w:r>
        <w:rPr>
          <w:rFonts w:ascii="Arial" w:cs="Arial" w:eastAsia="Arial" w:hAnsi="Arial"/>
          <w:sz w:val="24"/>
          <w:szCs w:val="24"/>
        </w:rPr>
        <w:t xml:space="preserve"> — физическое или юридическое лицо, независимо от организационно-правовой формы, чьи внутренние или присоединенные сети подключены к сетям организации инженерно-технического обеспечения, имеющей с ним границу раздела по признаку собственности или балансовой принадлежности, а также заключившее в установленном порядке договор на поставку (снабжение) ресурсами и/или отведение отработанных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период</w:t>
      </w:r>
      <w:r>
        <w:rPr>
          <w:rFonts w:ascii="Arial" w:cs="Arial" w:eastAsia="Arial" w:hAnsi="Arial"/>
          <w:sz w:val="24"/>
          <w:szCs w:val="24"/>
        </w:rPr>
        <w:t xml:space="preserve"> — период, предшествующий периоду регулирования, используемый для расчета базового размера платы;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размер платы за технологическое присоединение</w:t>
      </w:r>
      <w:r>
        <w:rPr>
          <w:rFonts w:ascii="Arial" w:cs="Arial" w:eastAsia="Arial" w:hAnsi="Arial"/>
          <w:sz w:val="24"/>
          <w:szCs w:val="24"/>
        </w:rPr>
        <w:t xml:space="preserve"> — средневзвешенный показатель затрат на присоединение одной единицы мощности, устанавливаемый для целей развития существующей инфраструктуры электроснабжения и теплоснабжения;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внутридомовые (внутренние) сети</w:t>
      </w:r>
      <w:r>
        <w:rPr>
          <w:rFonts w:ascii="Arial" w:cs="Arial" w:eastAsia="Arial" w:hAnsi="Arial"/>
          <w:sz w:val="24"/>
          <w:szCs w:val="24"/>
        </w:rPr>
        <w:t xml:space="preserve"> — инженерные сети, расположенные внутри здания и обеспечивающие подачу ресурсов к приборам потребления или отведение сточных вод;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орган градостроительства и архитектуры</w:t>
      </w:r>
      <w:r>
        <w:rPr>
          <w:rFonts w:ascii="Arial" w:cs="Arial" w:eastAsia="Arial" w:hAnsi="Arial"/>
          <w:sz w:val="24"/>
          <w:szCs w:val="24"/>
        </w:rPr>
        <w:t xml:space="preserve"> – подведомственное подразделение с территориальными управлениями, входящее в структуру центрального государственного органа, реализующего государственную политику в сфере градостроительства, архитектурно-строительной деятельности и жилищно-коммунального хозяйства, осуществляющее полномочия в области градостроительства и архитектуры;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граница собственности (балансовой принадлежности)</w:t>
      </w:r>
      <w:r>
        <w:rPr>
          <w:rFonts w:ascii="Arial" w:cs="Arial" w:eastAsia="Arial" w:hAnsi="Arial"/>
          <w:sz w:val="24"/>
          <w:szCs w:val="24"/>
        </w:rPr>
        <w:t xml:space="preserve"> — линия раздела элементов сетей инженерно-технического обеспечения между владельцами по признаку права собственности, хозяйственного ведения либо оперативного 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граница эксплуатационной ответственности</w:t>
      </w:r>
      <w:r>
        <w:rPr>
          <w:rFonts w:ascii="Arial" w:cs="Arial" w:eastAsia="Arial" w:hAnsi="Arial"/>
          <w:sz w:val="24"/>
          <w:szCs w:val="24"/>
        </w:rPr>
        <w:t xml:space="preserve"> — линия разграничения элементов сетей инженерно-технического обеспечения между организациями по признаку их обязанностей по эксплуатации и техническому обслуживанию, устанавливаемая в соответствии с законодательством Кыргызской Республики и закрепляемая в договоре;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заказчик</w:t>
      </w:r>
      <w:r>
        <w:rPr>
          <w:rFonts w:ascii="Arial" w:cs="Arial" w:eastAsia="Arial" w:hAnsi="Arial"/>
          <w:sz w:val="24"/>
          <w:szCs w:val="24"/>
        </w:rPr>
        <w:t xml:space="preserve"> – физическое или юридическое лицо, а также государственные органы и органы местного самоуправления, обеспечивающее на принадлежащем или предоставленном ему земельном участке проектирование и строительство объектов капитального строительства, реконструкцию, капитальный ремонт существующих объектов, а также выполнение инженерных изысканий, подготовку проектной документации для их строительства, реконструкции, капитального ремонта, используя собственные и другие средства путем заключения договоров с соответствующими специализированными организациями;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 (заказчик)</w:t>
      </w:r>
      <w:r>
        <w:rPr>
          <w:rFonts w:ascii="Arial" w:cs="Arial" w:eastAsia="Arial" w:hAnsi="Arial"/>
          <w:sz w:val="24"/>
          <w:szCs w:val="24"/>
        </w:rPr>
        <w:t xml:space="preserve"> — физическое или юридическое лицо, независимо от организационно-правовой формы, осуществляющее новое строительство, реконструкцию, перепрофилирование или перепланировку объекта, связанное с подключением к сетям инженерно-технического обеспечения или изменением потребляемой нагрузки, и обращающееся в уполномоченный орган за получением разрешительных документов на строительство;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инженерно-технические службы</w:t>
      </w:r>
      <w:r>
        <w:rPr>
          <w:rFonts w:ascii="Arial" w:cs="Arial" w:eastAsia="Arial" w:hAnsi="Arial"/>
          <w:sz w:val="24"/>
          <w:szCs w:val="24"/>
        </w:rPr>
        <w:t xml:space="preserve"> – это организации, которые обеспечивают электроснабжение, теплоснабжение, газоснабжение, водоснабжение и водоотведение (канализацию), </w:t>
      </w:r>
      <w:r>
        <w:rPr>
          <w:rFonts w:ascii="Arial" w:cs="Arial" w:eastAsia="Arial" w:hAnsi="Arial"/>
          <w:sz w:val="24"/>
          <w:szCs w:val="24"/>
        </w:rPr>
        <w:t xml:space="preserve">ирригацию</w:t>
      </w:r>
      <w:r>
        <w:rPr>
          <w:rFonts w:ascii="Arial" w:cs="Arial" w:eastAsia="Arial" w:hAnsi="Arial"/>
          <w:sz w:val="24"/>
          <w:szCs w:val="24"/>
        </w:rPr>
        <w:t xml:space="preserve"> а также телефонизацию и другие виды связи проектируемых объектов строительства;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отложенное подключение</w:t>
      </w:r>
      <w:r>
        <w:rPr>
          <w:rFonts w:ascii="Arial" w:cs="Arial" w:eastAsia="Arial" w:hAnsi="Arial"/>
          <w:sz w:val="24"/>
          <w:szCs w:val="24"/>
        </w:rPr>
        <w:t xml:space="preserve"> — форма подключения объекта к сетям инженерно-технического обеспечения при отсутствии на момент обращения технической возможности немедленного подключения, предусматривающая выдачу технических условий с отложенным сроком, условиями и параметрами подключения, служащую основанием для проектирования, получения разрешительных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период регулирования</w:t>
      </w:r>
      <w:r>
        <w:rPr>
          <w:rFonts w:ascii="Arial" w:cs="Arial" w:eastAsia="Arial" w:hAnsi="Arial"/>
          <w:sz w:val="24"/>
          <w:szCs w:val="24"/>
        </w:rPr>
        <w:t xml:space="preserve"> — календарный год, на который утверждается базовый размер платы за технологическое присоединение к сетям электроснабжения и теплоснабжающих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подключение к сетям</w:t>
      </w:r>
      <w:r>
        <w:rPr>
          <w:rFonts w:ascii="Arial" w:cs="Arial" w:eastAsia="Arial" w:hAnsi="Arial"/>
          <w:sz w:val="24"/>
          <w:szCs w:val="24"/>
        </w:rPr>
        <w:t xml:space="preserve"> — затраты, связанные с выполнением работ по врезке в существующую сеть в установленной точке подключения;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технологическое присоединение к сетям электроснабжения и теплоснабжающих организаций</w:t>
      </w:r>
      <w:r>
        <w:rPr>
          <w:rFonts w:ascii="Arial" w:cs="Arial" w:eastAsia="Arial" w:hAnsi="Arial"/>
          <w:sz w:val="24"/>
          <w:szCs w:val="24"/>
        </w:rPr>
        <w:t xml:space="preserve"> — обоснованные затраты на выполнение комплекса инженерно-технических и организационных мероприятий для обеспечения в точке подключения запрашиваемой мощности;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подключение к сетям</w:t>
      </w:r>
      <w:r>
        <w:rPr>
          <w:rFonts w:ascii="Arial" w:cs="Arial" w:eastAsia="Arial" w:hAnsi="Arial"/>
          <w:sz w:val="24"/>
          <w:szCs w:val="24"/>
        </w:rPr>
        <w:t xml:space="preserve"> — выполнение работ по врезке в действующую сеть в пределах точки подключения;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присоединение к сетям</w:t>
      </w:r>
      <w:r>
        <w:rPr>
          <w:rFonts w:ascii="Arial" w:cs="Arial" w:eastAsia="Arial" w:hAnsi="Arial"/>
          <w:sz w:val="24"/>
          <w:szCs w:val="24"/>
        </w:rPr>
        <w:t xml:space="preserve"> — выполнение проектных и строительных работ по прокладке инженерных коммуникаций от объекта до точки подключения, определенной в технических условиях;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пропускная способность</w:t>
      </w:r>
      <w:r>
        <w:rPr>
          <w:rFonts w:ascii="Arial" w:cs="Arial" w:eastAsia="Arial" w:hAnsi="Arial"/>
          <w:sz w:val="24"/>
          <w:szCs w:val="24"/>
        </w:rPr>
        <w:t xml:space="preserve"> — способность сетей инженерно-технического обеспечения обеспечивать подачу или прием расчетного объема ресурсов в заданном режиме за определенный период времени;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ресурсы</w:t>
      </w:r>
      <w:r>
        <w:rPr>
          <w:rFonts w:ascii="Arial" w:cs="Arial" w:eastAsia="Arial" w:hAnsi="Arial"/>
          <w:sz w:val="24"/>
          <w:szCs w:val="24"/>
        </w:rPr>
        <w:t xml:space="preserve"> — электрическая энергия, холодная и горячая вода, природный газ, тепловая энергия, используемые для предоставления коммунальных услуг по электроснабжению, теплоснабжению, газоснабжению, водоснабжению и водоотведению (канализации), а также для обеспечения телефонии и иных видов связи, необходимых для функционирования проектируемых объектов строительства;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сети инженерно-технического обеспечения</w:t>
      </w:r>
      <w:r>
        <w:rPr>
          <w:rFonts w:ascii="Arial" w:cs="Arial" w:eastAsia="Arial" w:hAnsi="Arial"/>
          <w:sz w:val="24"/>
          <w:szCs w:val="24"/>
        </w:rPr>
        <w:t xml:space="preserve"> — совокупность объектов, находящихся на праве собственности либо ином законном основании, непосредственно используемых для целей электроснабжения, теплоснабжения, газоснабжения, водоснабжения, водоотведения (канализации), </w:t>
      </w:r>
      <w:r>
        <w:rPr>
          <w:rFonts w:ascii="Arial" w:cs="Arial" w:eastAsia="Arial" w:hAnsi="Arial"/>
          <w:sz w:val="24"/>
          <w:szCs w:val="24"/>
        </w:rPr>
        <w:t xml:space="preserve">ирригации</w:t>
      </w:r>
      <w:r>
        <w:rPr>
          <w:rFonts w:ascii="Arial" w:cs="Arial" w:eastAsia="Arial" w:hAnsi="Arial"/>
          <w:sz w:val="24"/>
          <w:szCs w:val="24"/>
        </w:rPr>
        <w:t xml:space="preserve"> а также обеспечения телефонии и иных видов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коммуникаций</w:t>
      </w:r>
      <w:r>
        <w:rPr>
          <w:rFonts w:ascii="Arial" w:cs="Arial" w:eastAsia="Arial" w:hAnsi="Arial"/>
          <w:sz w:val="24"/>
          <w:szCs w:val="24"/>
        </w:rPr>
        <w:t xml:space="preserve"> — документ, отражающий размещение существующих и планируемых сетей инженерно-технического обеспечения, составляемый органом архитектуры и строительства и обеспечивающий открытый доступ к соответствующей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условия</w:t>
      </w:r>
      <w:r>
        <w:rPr>
          <w:rFonts w:ascii="Arial" w:cs="Arial" w:eastAsia="Arial" w:hAnsi="Arial"/>
          <w:sz w:val="24"/>
          <w:szCs w:val="24"/>
        </w:rPr>
        <w:t xml:space="preserve"> — документ, определяющий точку подключения, допустимую нагрузку (мощность), источник снабжения, параметры подаваемого ресурса или отводимого продукта, способ и график регулирования, а также иные обязательные требования для подключения объекта к сетям инженерно-технического обеспечения, гарантирующий заявителю право на подключение в течение срока его 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техническое обслуживание</w:t>
      </w:r>
      <w:r>
        <w:rPr>
          <w:rFonts w:ascii="Arial" w:cs="Arial" w:eastAsia="Arial" w:hAnsi="Arial"/>
          <w:sz w:val="24"/>
          <w:szCs w:val="24"/>
        </w:rPr>
        <w:t xml:space="preserve"> — комплекс мероприятий, включающий профилактический осмотр, текущее и аварийное обслуживание сетей инженерно-технического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технологически связанные сети</w:t>
      </w:r>
      <w:r>
        <w:rPr>
          <w:rFonts w:ascii="Arial" w:cs="Arial" w:eastAsia="Arial" w:hAnsi="Arial"/>
          <w:sz w:val="24"/>
          <w:szCs w:val="24"/>
        </w:rPr>
        <w:t xml:space="preserve"> — сети инженерно-технического обеспечения, принадлежащие различным организациям на праве собственности или ином законном основании, имеющие взаимные точки подключения и функционирующие как единая технологическая система;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технологическое присоединение</w:t>
      </w:r>
      <w:r>
        <w:rPr>
          <w:rFonts w:ascii="Arial" w:cs="Arial" w:eastAsia="Arial" w:hAnsi="Arial"/>
          <w:sz w:val="24"/>
          <w:szCs w:val="24"/>
        </w:rPr>
        <w:t xml:space="preserve"> — совокупность инженерно-технических и организационных мероприятий, направленных на обеспечение необходимой мощности ресурса в точке подключения;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точка подключения</w:t>
      </w:r>
      <w:r>
        <w:rPr>
          <w:rFonts w:ascii="Arial" w:cs="Arial" w:eastAsia="Arial" w:hAnsi="Arial"/>
          <w:sz w:val="24"/>
          <w:szCs w:val="24"/>
        </w:rPr>
        <w:t xml:space="preserve"> — ближайшее к объекту строительства либо земельному участку место присоединения к сетям инженерно-технического обеспечения в соответствии с утвержденной схемой коммуникаций, обеспечивающее возможность подключения устройства или сооружения к системам электроснабжения, теплоснабжения, газоснабжения, водоснабжения, водоотведения (канализации), </w:t>
      </w:r>
      <w:r>
        <w:rPr>
          <w:rFonts w:ascii="Arial" w:cs="Arial" w:eastAsia="Arial" w:hAnsi="Arial"/>
          <w:sz w:val="24"/>
          <w:szCs w:val="24"/>
        </w:rPr>
        <w:t xml:space="preserve">ирригации</w:t>
      </w:r>
      <w:r>
        <w:rPr>
          <w:rFonts w:ascii="Arial" w:cs="Arial" w:eastAsia="Arial" w:hAnsi="Arial"/>
          <w:sz w:val="24"/>
          <w:szCs w:val="24"/>
        </w:rPr>
        <w:t xml:space="preserve"> а также к системам телефонии и иным видам связи;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elsoqtr0dl-cklvpx5d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2025 года № 102-нпа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получения технических условий при строительстве, реконструкции, перепрофилировании и перепланировке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Выдача технических условий на подключение к сетям инженерно-технического обеспечения осуществляется инженерно-техническими службами на основании запроса государственного органа градостроительства и архитектуры, а в случае временного подключения на период выполнения строительно-монтажных работ - по запросу заказчика.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При реконструкции, перепрофилировании или перепланировке объекта, не сопровождающихся изменением объема потребления ресурсов, получение новых технических условий не требуется.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Запрос государственного органа градостроительства и архитектуры должен содержать наименование заказчика, местонахождение (адрес) объекта строительства, реконструкции, перепрофилирования или перепланировки, а также включать копии документов, представленных заказчиком или проектной организацией в составе заявления о намерении осуществления строительных работ. Указанный запрос направляется в бумажной форме либо в электронном формате через систему электронного документооборота «Infodocs», систему межведомственного электронного взаимодействия «Түндүк» и/или иные программные средства.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не вправе требовать предоставления дополнительных документов, помимо указанных в пункте 7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в срок, не превышающий десяти рабочих дней со дня получения запроса от государственного органа градостроительства и архитектуры, определяет и предоставляет технические условия и информацию о плате за подключение объекта строительства к сетям инженерно-технического обеспечения по установленной форме согласно приложению к настоящим Правилам либо направляет мотивированный отказ.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Основанием для отказа в выдаче технических условий является отсутствие технической возможности увеличения пропускной способности сетей инженерно-технического обеспечения.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При направлении мотивированного отказа инженерно-технические службы одновременно предлагают заказчику технические условия на отложенное подключение, модернизацию либо проектирование и строительство альтернативных сетей инженерно-технического обеспечения.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не вправе продлевать срок исполнения запроса, направленного государственным органом градостроительства и архитектуры.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В случае непредоставления технических условий в установленный срок технические условия считаются выданными. При этом государственный орган градостроительства и архитектуры вправе самостоятельно определить точки подключения объекта на основании информации о свободных мощностях, схемах развития сетей, результатах инвентаризации и иных доступных источниках.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Технические условия должны содержать следующие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наименование и адрес объекта;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разрешенную мощность в каждой точке подключения;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точки подключения;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фактическую максимальную нагрузку на каждую точку подключения;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ориентировочный срок подключения объекта строительства к сетям инженерно-технического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срок действия технических условий;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специальные технические требования;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стоимость подключения единицы поставляемого ресурса.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Включение в технические условия требований, не предусмотренных пунктом 14 настоящих Правил, включая требования к внутренним инженерным системам и оборудованию,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службы, выдавшие технические условия, не вправе изменять их содержание или прекращать их действие в течение срока их действия, а также в период строительства до его завершения, при условии, что проектная документация была согласована в период действия указанных технических условий.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В случае необходимости увеличения или уменьшения ранее разрешенной мощности заказчик направляет соответствующий письменный запрос в инженерно-техническую службу. Инженерно-техническая служба обязана в течение десяти рабочих дней с даты поступления запроса выдать технические условия без изменения точек подключения и без прекращения действия ранее выданных технических условий.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Технические условия выдаются на срок не менее двух лет и утрачивают силу с момента подключения объекта к сетям инженерно-технического обеспечения. В случае согласования проектной документации на строительство сетей инженерно-технического обеспечения в период действия технических условий продление срока их действия не требуется.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Срок действия технических условий может быть продлен не более чем на один год на основании заявления заказчика, которое рассматривается в течение десяти рабочих дней со дня его подачи.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Информация о наличии свободных мощностей, существующих и планируемых схемах инженерно-технического обеспечения, а также о размере платы за предоставление технических условий и подключение объектов строительства предоставляется по запросам заказчиков, органов государственной власти и органов местного самоуправления в течение десяти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Информация о правилах получения технических условий и размере платы за подключение объекта строительства к сетям инженерно-технического обеспечения предоставляется без взимания 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вправе выдавать технические условия как на платной, так и на бесплатной основе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В случае, если технические условия выдаются инженерно-техническими службами на платной основе, прейскурант цен подлежит согласованию с уполномоченным государственным антимонопольным органом в установленном порядке, а также обязательному размещению на официальных интернет-ресурсах и в доступных для обозрения местах инженерно-технических служб.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В случае, если выдача технических условий инженерно-техническими службами осуществляется на платной основе, указанные органы выставляют счет государственному органу градостроительства и архитектуры.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выставляют счета за предоставление технических условий без выставления счета за услуги (работы), не предусмотренные прейскурантом. В случае, если заказчиком является физическое лицо, счет выставляется как физическому лицу, если юридическое - как юридическому лицу. Если прейскурантом предусмотрено, что стоимость определяется по объекту строительства или от объема запрашиваемых инженерных нагрузок, счет выставляется по соответствующему объекту строительства или запрашиваемым нагрузкам.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в установленном порядке несут ответственность за правильность выставленных счетов.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По запросу государственного органа градостроительства и архитектуры инженерно-технические службы приостанавливают действие технических условий, аннулируют их, а также выставленные счета в случаях, предусмотренных Положением «О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Государственный орган градостроительства и архитектуры перечисляет инженерно-техническим службам денежные средства после поступления оплаты от заказчика, путем перечисления на их банковский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модернизации либо проектирования и строительства альтернативных сетей инженерно-технического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технической возможности подключения объекта строительства, реконструкции, перепрофилирования либо перепланировки к существующим сетям инженерно-технического обеспечения, заказчик вправе совместно с инженерно-техническими службами на договорной основе осуществить модернизацию существующих сетей либо выполнить проектирование и строительство альтернативных сетей инженерно-технического обеспечения, включая системы водоснабжения, </w:t>
      </w:r>
      <w:r>
        <w:rPr>
          <w:rFonts w:ascii="Arial" w:cs="Arial" w:eastAsia="Arial" w:hAnsi="Arial"/>
          <w:sz w:val="24"/>
          <w:szCs w:val="24"/>
        </w:rPr>
        <w:t xml:space="preserve">ирригации</w:t>
      </w:r>
      <w:r>
        <w:rPr>
          <w:rFonts w:ascii="Arial" w:cs="Arial" w:eastAsia="Arial" w:hAnsi="Arial"/>
          <w:sz w:val="24"/>
          <w:szCs w:val="24"/>
        </w:rPr>
        <w:t xml:space="preserve"> электроснабжения, газоснабжения, теплоснабжения, канализации, телефонизации и других видов связи.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dbenuwubxxqj91qm0sq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2025 года № 102-нпа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Построенные альтернативные сети инженерно-технического обеспечения подлежат передаче на баланс соответствующих инженерно-технических служб с последующей компенсацией понесенных заказчиком затрат в порядке, установленном договором между сторонами.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Компенсация понесенных затрат устанавливается на договорной основе между заказчиком и инженерно-техническими службами и может включать: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возмещение затрат заказчика на проектирование и строительство альтернативных сетей инженерно-технического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компенсацию в форме взаиморасчетов за счет будущих платежей;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уменьшение платы за технологическое присоединение;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иные формы компенсации, согласованные сторонами.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Проектирование и строительство альтернативных сетей инженерно-технического обеспечения осуществляется в соответствии с техническими нормативами, градостроительными регламентами, требованиями безопасности, санитарными, противопожарными и экологическими нормами.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Все проектные решения по альтернативным сетям инженерно-технического обеспечения подлежат обязательному согласованию с соответствующими инженерно-техническими службами, а также получению разрешительных документов в порядке, установленном Положением «О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По завершении строительства альтернативных сетей инженерно-технического обеспечения осуществляется оценка их соответствия в установленном порядке, с последующей передачей указанных сетей на баланс соответствующих инженерно-технических служб на основании акта приема-передачи.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Передача построенных альтернативных сетей инженерно-технического обеспечения на баланс инженерно-технических служб не допускает отказа в дальнейшем подключении иных объектов при наличии свободной мощности и соблюдении технических условий.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Модернизация сетей инженерно-технического обеспечения осуществляется в целях увеличения их пропускной способности, повышения надежности, энергоэффективности, а также обеспечения возможности технологического присоединения объектов строительства, реконструкции, перепрофилирования или перепланировки.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Модернизация сетей инженерно-технического обеспечения допускается на договорной основе между заказчиком и инженерно-техническими службами с последующей компенсацией понесенных затрат в порядке, установленном договором и пунктом 30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Модернизация осуществляется в пределах зон эксплуатационной ответственности соответствующих инженерно-технических служб либо по отдельному договору с заказчиком - за счет заказчика, с последующей компенсацией на договорной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Модернизация сетей инженерно-технического обеспечения осуществляется в соответствии с техническими нормативами, градостроительными регламентами, требованиями безопасности, санитарными, противопожарными и экологическими нормами.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Все проектные решения, принимаемые в рамках модернизации сетей инженерно-технического обеспечения, подлежат обязательному согласованию с соответствующими инженерно-техническими службами, а также получению разрешительных документов в порядке, установленном Положением «О порядке выдачи документов на проектирование, строительство, внесение изменений в объекты недвижимости и оценку соответствия вводимых в эксплуатацию завершенных строительством объектов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По завершении модернизации сетей инженерно-технического обеспечения осуществляется оценка их соответствия в установленном порядке, с последующей передачей указанных сетей на баланс соответствующих инженерно-технических служб на основании акта приема-передачи.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Передача сетей инженерно-технического обеспечения, модернизированных за счет заказчика, на баланс инженерно-технических служб не допускает отказа в дальнейшем подключении иных объектов при наличии свободной мощности и соблюдении технических условий.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При модернизации либо при проектировании и строительстве альтернативных сетей инженерно-технического обеспечения инженерно-технические службы организуют решение вопросов, связанных с предоставлением земельных участков или территорий для размещения таких сетей, во взаимодействии с органами местного самоуправления либо иными уполномоченными государственными органами в порядке, установленном земельным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В случае, если строительство или модернизация сетей инженерно-технического обеспечения осуществляется на территории, находящейся в собственности заказчика, заказчик обязан в установленном порядке выделить указанную территорию в качестве самостоятельного земельного участка и, после ввода сетей в эксплуатацию, передать его инженерно-техническим службам в порядке, установленном земельным законодательством Кыргызской Республики и соответствующим договором, заключенным с инженерно-техническими службами.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При проведении мероприятий по модернизации, а также при проектировании и строительстве альтернативных сетей инженерно-технического обеспечения инженерно-технические службы оказывают заказчику всестороннее содействие, направленное на обеспечение технической целостности и согласованности решений.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выдачи технических условий при отложенном подключении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В случае временного дефицита запрашиваемых мощностей или ресурсов, а также при наличии объективных технических ограничений, инженерно-технические службы по запросу заказчика, поданному через государственный орган градостроительства и архитектуры, выдают технические условия с отложенным подключением.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В графе «Особые условия» технических условий инженерно-технические службы указывают ориентировочную дату технологического присоединения к существующим сетям инженерно-технического обеспечения.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При наступлении ориентировочной даты технологического присоединения инженерно-технические службы обязаны обеспечить подключение объекта заказчика в срок, не превышающий тридцати (30) календарных дней с момента наступления указанной даты.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При выдаче технических условий при отложенном подключении инженерно-технические службы обязаны зарезервировать за заказчиком соответствующую мощность и параметры подключения, указанные в технических условиях.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подключения объекта строительства, реконструкции, перепрофилирования либо перепланировки к существующим сетям инженерно-технического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Технологическое присоединение объекта строительства, реконструкции, перепрофилирования либо перепланировки к существующим сетям инженерно-технического обеспечения допускается после получения основания для начала строительно-монтажных работ и до проведения оценки его соответствия установленным требованиям, в порядке, установленном Положением «О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Для технологического присоединения объекта строительства, реконструкции, перепрофилирования либо перепланировки к существующим сетям инженерно-технического обеспечения заказчик и инженерно-технические службы заключают договор о технологическом присоединении и последующей поставке ресурсов.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Стоимость технологического присоединения объекта строительства, реконструкции, перепрофилирования либо перепланировки к существующим сетям инженерно-технического обеспечения определяется инженерно-техническими службами или поставщиками ресурсов с обязательным согласованием с уполномоченным государственным антимонопольным органом, указывается в выданных технических условиях и не может превышать установленную в них сумму.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Для временного подключения к существующим сетям инженерно-технического обеспечения заказчик, после получения градостроительного заключения на объект строительства, реконструкции, перепрофилирования либо перепланировки, вправе обратиться в инженерно-технические службы с заявлением о временном подключении. При этом заказчик осуществляет оплату поставляемых ресурсов инженерно-техническим службам по тарифам, утвержденным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Точка подключения объекта к сетям инженерно-технического обеспечения не должна превышать 100 метров (в радиусе) от приемных устройств объекта строительства, реконструкции, перепрофилирования либо перепланировки.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обязаны обеспечить подачу требуемой мощности в точку подключения как за счет резервных мощностей, так и за счет инженерно-технических и организационных мероприятий. Указанные мероприятия осуществляются за счет средств, поступающих в качестве платы за технологическое присоединение.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Для подключения объекта строительства, реконструкции, перепрофилирования либо перепланировки к существующим сетям инженерно-технического обеспечения заказчик обращается с заявлением в инженерно-технические службы с приложением копий документов, подтверждающих получение основания для начала строительно-монтажных работ, в порядке, установленном Положением «О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В течение десяти рабочих дней со дня обращения заказчика с заявлением инженерно-технические службы и заказчик заключают договор о технологическом присоединении. После подписания договора заказчик обязан в течение трех рабочих дней произвести оплату стоимости технологического присоединения на банковский счет инженерно-технических служб.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Заказчик и инженерно-технические службы вправе предусмотреть поэтапную оплату стоимости технологического присоединения, указав соответствующие условия в договоре о технологическом присоединении.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Форма договора о технологическом присоединении утверждается инженерно-техническими службами или поставщиками ресурсов. Утвержденная форма договора подлежит обязательному размещению на официальных интернет-ресурсах инженерно-технических служб, а также должна быть доступна для ознакомления в помещениях соответствующих инженерно-технических служб.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Сроки технологического присоединения определяются договором и не могут превышать срок действия выданных технических условий.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Технологическое присоединение осуществляется на основании разрешительных документов, выданных государственным органом градостроительства и архитектуры, в порядке, установленном Положением «О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Технологическое присоединение осуществляется в строгом соответствии с нормативно-технической документов, действующей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После осуществления технологического присоединения инженерно-технические службы проводят проверку его соответствия разрешительным документам, выданным государственным органом в области градостроительства и архитектуры, в порядке, установленном Положением «О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объектов», а также нормативно-технической документации, действующей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</w:t>
      </w:r>
      <w:r>
        <w:rPr>
          <w:rFonts w:ascii="Arial" w:cs="Arial" w:eastAsia="Arial" w:hAnsi="Arial"/>
          <w:sz w:val="24"/>
          <w:szCs w:val="24"/>
        </w:rPr>
        <w:t xml:space="preserve">В течение пяти рабочих дней после осуществления технологического присоединения инженерно-технические службы выдают подтверждение о подключении объекта строительства, реконструкции, перепрофилирования либо перепланировки к существующим сетям инженерно-технического обеспечения.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65.</w:t>
      </w:r>
      <w:r>
        <w:rPr>
          <w:rFonts w:ascii="Arial" w:cs="Arial" w:eastAsia="Arial" w:hAnsi="Arial"/>
          <w:sz w:val="24"/>
          <w:szCs w:val="24"/>
        </w:rPr>
        <w:t xml:space="preserve">Подтверждение о подключении объекта строительства, реконструкции, перепрофилирования либо перепланировки к существующим сетям инженерно-технического обеспечения выдается на бесплатной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66.</w:t>
      </w:r>
      <w:r>
        <w:rPr>
          <w:rFonts w:ascii="Arial" w:cs="Arial" w:eastAsia="Arial" w:hAnsi="Arial"/>
          <w:sz w:val="24"/>
          <w:szCs w:val="24"/>
        </w:rPr>
        <w:t xml:space="preserve">После выдачи подтверждения о подключении объекта строительства, реконструкции, перепрофилирования либо перепланировки к существующим сетям инженерно-технического обеспечения инженерно-технические службы и заказчик вправе заключить договор о поставке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Отдельные вопросы по энергоснабжению и теплоснабжению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lcgxe2zyv_n98cxhnzt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строительства, архитектуры и ЖКХ КР от 24 сентября 2025 года № 97-нпа)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Инженерно-технические службы в сфере энергоснабжения вправе выдавать технические условия на электроснабжение мощностью до 30 кВт на основании заявления заказчиков. Форма заявления и порядок утверждается Министерством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vgp5iq9qdwozsizijzs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Технологическое присоединение к существующим электрическим сетям осуществляется без взимания платы. Заказчики несут расходы только в части оплаты инженерно-техническим службам за разработку технических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ft5nt8qmh1r2ogmzc8v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Инженерно-технические службы в сфере энергоснабжения, не имеющие в составе государственной доли собственности, обязаны согласовывать с инженерно-техническими службами, в составе собственности которых имеется государственная доля, технологическое присоединение энергопринимающих устройств мощностью свыше 500 кВт к электрическим сетям, имеющим более высокий класс напряжения, к которым осуществляется данное подключение.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qmawcnr7omwieskt4es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Мощность временного присоединения к существующим сетям электроснабжения на период строительства, реконструкции, перепрофилирования либо перепланировки объектов не должна превышать 1,5 МВт. В случае строительства автомобильных и железных дорог допустимая мощность временного присоединения не должна превышать 3,5 МВт. Для разовых работ мощность временного присоединения не должна превышать 0,1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a71nkcnn2wuprj1dknw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Заказчик для осуществления технологического присоединения обращается в инженерно-технические службы в сфере энергоснабжения. Выбор типа электрической сети осуществляется в зависимости от величины подключаемой мощности и производится согласно следующей классификации: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линия электропередачи напряжением 0,23 кВ - при подключаемой мощности до 10 кВт;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линия электропередачи напряжением 0,4 кВ - при подключаемой мощности от 3 до 50 кВт с учетом возможного строительства линии электропередачи;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линия электропередачи напряжением 6-10 кВ - при подключаемой мощности от 50 кВт до 2 МВт;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подстанция напряжением 35-110 кВ с отпайкой на напряжение 6-10 кВ - при подключаемой мощности от 500 до 10 000 кВт;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линия электропередачи напряжением 35 кВ - при подключаемой мощности от 1 до 20 МВт;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подстанция напряжением 35-110 кВ с отпайкой на напряжение 35 кВ - при подключаемой мощности до 20 МВт;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линия электропередачи напряжением 110 кВ - при подключаемой мощности от 10 до 70 МВт;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электрическая сеть Открытого акционерного общества "Национальная электрическая сеть Кыргызстана" напряжением 220 кВ - при подключаемой мощности от 25 до 150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lgqtikva4tky2kanfiv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Технологическое присоединение к существующим сетям теплоснабжения осуществляется на платной основе. Инженерно-технические службы в сфере теплоснабжения направляют полученные денежные средства на развитие и реконструкцию существующих тепловых сетей, включая модернизацию, проектирование и строительство новых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h2j8hyer1x91ookpve1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Размер платы за технологическое присоединение формируется с учетом повышающего коэффициента, который применяется в случае, если величина заявленной тепловой нагрузки присоединяемого объекта превышает одну Гкал/час.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p0asn7xsz5elcctvhnw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Размер платы за технологическое присоединение устанавливается один раз при выдаче технических условий инженерно-техническими службами в сфере теплоснабжения.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boirfebzalfcoqmaw8t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Размер платы за технологическое присоединение (РП) за 1 Гкал мощности к сетям теплоснабжения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 = Т</w:t>
      </w:r>
      <w:r>
        <w:rPr>
          <w:rFonts w:ascii="Arial" w:cs="Arial" w:eastAsia="Arial" w:hAnsi="Arial"/>
          <w:sz w:val="20"/>
          <w:szCs w:val="20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 × Р</w:t>
      </w:r>
      <w:r>
        <w:rPr>
          <w:rFonts w:ascii="Arial" w:cs="Arial" w:eastAsia="Arial" w:hAnsi="Arial"/>
          <w:sz w:val="20"/>
          <w:szCs w:val="20"/>
        </w:rPr>
        <w:t xml:space="preserve">ед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0"/>
          <w:szCs w:val="20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 - базовый размер платы за технологическое присоединение объекта к сетям теплоснабжения, млн.сом/Гкал/час;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0"/>
          <w:szCs w:val="20"/>
        </w:rPr>
        <w:t xml:space="preserve">ед</w:t>
      </w:r>
      <w:r>
        <w:rPr>
          <w:rFonts w:ascii="Arial" w:cs="Arial" w:eastAsia="Arial" w:hAnsi="Arial"/>
          <w:sz w:val="24"/>
          <w:szCs w:val="24"/>
        </w:rPr>
        <w:t xml:space="preserve"> - суммарная мощность технологического присоединения, подтвержденная заявкой присоединяемого Заказчика на основании проектной документации на объект.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09tywoqwbvqaiiv_nvo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Основным исходным показателем для расчета экономически обоснованной платы за технологическое присоединение к сетям теплоснабжения является фактическая сумма затрат на реконструкцию, направленную на улучшение технических характеристик тепловых сетей в базовом периоде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g3zzat9ooor3mazbhfl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Базовый размер платы за технологическое присоединение (Т</w:t>
      </w:r>
      <w:r>
        <w:rPr>
          <w:rFonts w:ascii="Arial" w:cs="Arial" w:eastAsia="Arial" w:hAnsi="Arial"/>
          <w:sz w:val="20"/>
          <w:szCs w:val="20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0"/>
          <w:szCs w:val="20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 = ∑С</w:t>
      </w:r>
      <w:r>
        <w:rPr>
          <w:rFonts w:ascii="Arial" w:cs="Arial" w:eastAsia="Arial" w:hAnsi="Arial"/>
          <w:sz w:val="20"/>
          <w:szCs w:val="20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/ П</w:t>
      </w:r>
      <w:r>
        <w:rPr>
          <w:rFonts w:ascii="Arial" w:cs="Arial" w:eastAsia="Arial" w:hAnsi="Arial"/>
          <w:sz w:val="20"/>
          <w:szCs w:val="20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× К (млн.сом/Гкал/час),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∑С</w:t>
      </w:r>
      <w:r>
        <w:rPr>
          <w:rFonts w:ascii="Arial" w:cs="Arial" w:eastAsia="Arial" w:hAnsi="Arial"/>
          <w:sz w:val="20"/>
          <w:szCs w:val="20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- сумма затрат при реконструкции тепловых сетей в базовом (пятилетний период, предшествующий периоду (году) регулирования)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0"/>
          <w:szCs w:val="20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- сумма присоединенных нагрузок в базовом (пятилетний период, предшествующий периоду (году) регулирования)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показатель фактической годовой инфляции для года, предшествующего периоду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toagoxudbfrfsrul4se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Размер платы за технологическое присоединение рассчитывается теплоснабжающей организацией на основании базового размера платы индивидуально для каждого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qyypkpsab6oj7wygblv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Для города Бишкек базовый размер платы устанавливается единым показателем для всех теплоснабжающих организаций. Для организаций, работающих в регионах Кыргызской Республики, базовый размер платы корректируется с учетом территориальных коэффициентов, рассчитываемых на основании стоимости недвижимого имущества по территориальному признаку. При расчете коэффициентов используются среднеарифметические цены за квадратный метр недвижимого имущества, публикуемые уполномоченным государственным органом в сфере регистрации недвижимого имущества. Коэффициенты применяются на момент заключения договора о технологическом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hzssays06_i2x3vgffq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Базовый размер платы на период регулирования первоначально исчисляется на основе показателей базового периода. На последующие регулируемые периоды уполномоченный орган производит индексацию базового размера платы с учетом уровня годовой инфляции. Пересчет базового размера платы осуществляется не ранее чем через три года после ее первоначального установления.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0pihz1fmphaqcktj1oz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При подключаемой мощности свыше 1 Гкал/час размер платы корректируется с применением повышающих коэффициентов согласно следующей шкале: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подключаемой мощности, Гкал/час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Повышающий коэффициент 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1,0 до 1,5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1,5 до 2,0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2,0 до 2,5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2,5 до 3,0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3,0 до 3,5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3,5 и выше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zdnwjc4llbyhzj6rgaw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Размер платы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= РП × 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расчетная плата за технологическое присоединение;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повышающий коэффициент.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oxozrvf1qzfybs57lvz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. В случае, если технологическое присоединение к сетям теплоснабжения осуществляется в местах, где отсутствует свободная мощность либо тепловая сеть, размер платы за технологическое присоединение устанавливается инженерно-техническими службами в сфере теплоснабжения на основании проектной документации на объект.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qtrnplpqtc16ve8dawg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67.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несут ответственность в установленном законодательством порядке за своевременную и надлежащую выдачу технических условий, а также за обеспечение подключения к инженерно-техническим сетям. В случае необоснованного отказа в их выдаче и (или) причинения ущерба заказчику, ответственность наступает в порядке, предусмотренном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68.</w:t>
      </w:r>
      <w:r>
        <w:rPr>
          <w:rFonts w:ascii="Arial" w:cs="Arial" w:eastAsia="Arial" w:hAnsi="Arial"/>
          <w:sz w:val="24"/>
          <w:szCs w:val="24"/>
        </w:rPr>
        <w:t xml:space="preserve">В случае проведения модернизации, а также при проектировании и строительстве альтернативных сетей инженерно-технического обеспечения инженерно-технические службы несут ответственность за компенсацию понесенных заказчиком затрат в порядке, установленном договором и гражданским законодательством Кыргызской Республики, а также за решение вопросов, связанных с предоставлением земельных участков или территорий для размещения указанных сетей - в соответствии с требованиями земельного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69.</w:t>
      </w:r>
      <w:r>
        <w:rPr>
          <w:rFonts w:ascii="Arial" w:cs="Arial" w:eastAsia="Arial" w:hAnsi="Arial"/>
          <w:sz w:val="24"/>
          <w:szCs w:val="24"/>
        </w:rPr>
        <w:t xml:space="preserve">Неисполнение или нарушение сроков, указанных в заключении об отложенном подключении, влечет ответственность инженерно-технической службы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70.</w:t>
      </w:r>
      <w:r>
        <w:rPr>
          <w:rFonts w:ascii="Arial" w:cs="Arial" w:eastAsia="Arial" w:hAnsi="Arial"/>
          <w:sz w:val="24"/>
          <w:szCs w:val="24"/>
        </w:rPr>
        <w:t xml:space="preserve">Заказчик вправе обжаловать в судебном порядке необоснованный отказ в выдаче технических условий либо в осуществлении технологического присоединения к сетям инженерно-технического обеспечения -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71.</w:t>
      </w:r>
      <w:r>
        <w:rPr>
          <w:rFonts w:ascii="Arial" w:cs="Arial" w:eastAsia="Arial" w:hAnsi="Arial"/>
          <w:sz w:val="24"/>
          <w:szCs w:val="24"/>
        </w:rPr>
        <w:t xml:space="preserve">Самовольное присоединение объекта строительства к сетям инженерно-технического обеспечения без получения технических условий и заключения договоров на технологическое присоединение в установленном порядке не допускается. В случае самовольного присоединения заказчик несет ответственность за причиненный ущерб инженерно-техническим службам в соответствии с гражданским законодательством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УСЛОВИЯ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подключение объекта строительства, реконструкции, перепрофилирования либо перепланировки к существующим сетям теплоснабжения, водопровода и канализации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"/>
        <w:gridCol w:w="184"/>
        <w:gridCol w:w="184"/>
        <w:gridCol w:w="184"/>
        <w:gridCol w:w="184"/>
        <w:gridCol w:w="983"/>
        <w:gridCol w:w="983"/>
        <w:gridCol w:w="983"/>
        <w:gridCol w:w="983"/>
        <w:gridCol w:w="983"/>
        <w:gridCol w:w="983"/>
        <w:gridCol w:w="1121"/>
        <w:gridCol w:w="1121"/>
        <w:gridCol w:w="1121"/>
      </w:tblGrid>
      <w:tr>
        <w:tc>
          <w:tcPr>
            <w:tcW w:type="dxa" w:w="92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36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</w:tc>
      </w:tr>
      <w:tr>
        <w:tc>
          <w:tcPr>
            <w:tcW w:type="dxa" w:w="9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инженерно-технической службы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для связи (адрес, телефон, электронная почта)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заказчика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объекта в формате точного адреса с возможным указанием пересекающихся улиц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6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параметры</w:t>
            </w:r>
          </w:p>
        </w:tc>
      </w:tr>
      <w:tr>
        <w:tc>
          <w:tcPr>
            <w:tcW w:type="dxa" w:w="9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</w:t>
            </w:r>
          </w:p>
        </w:tc>
        <w:tc>
          <w:tcPr>
            <w:tcW w:type="dxa" w:w="926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теплоснабжения</w:t>
            </w:r>
          </w:p>
        </w:tc>
      </w:tr>
      <w:tr>
        <w:tc>
          <w:tcPr>
            <w:tcW w:type="dxa" w:w="190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</w:t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мегаватт</w:t>
            </w:r>
          </w:p>
        </w:tc>
        <w:tc>
          <w:tcPr>
            <w:tcW w:type="dxa" w:w="32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гигакалорий в час</w:t>
            </w:r>
          </w:p>
        </w:tc>
      </w:tr>
      <w:tr>
        <w:tc>
          <w:tcPr>
            <w:tcW w:type="dxa" w:w="288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Температурный график</w:t>
            </w:r>
          </w:p>
        </w:tc>
        <w:tc>
          <w:tcPr>
            <w:tcW w:type="dxa" w:w="505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°С</w:t>
            </w:r>
          </w:p>
        </w:tc>
      </w:tr>
      <w:tr>
        <w:tc>
          <w:tcPr>
            <w:tcW w:type="dxa" w:w="288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Давление в точке подключения</w:t>
            </w:r>
          </w:p>
        </w:tc>
        <w:tc>
          <w:tcPr>
            <w:tcW w:type="dxa" w:w="505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атмосфер</w:t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объекта с установкой в нем приборов учета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врезки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</w:p>
        </w:tc>
        <w:tc>
          <w:tcPr>
            <w:tcW w:type="dxa" w:w="944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горячее водоснабжение</w:t>
            </w:r>
          </w:p>
        </w:tc>
      </w:tr>
      <w:tr>
        <w:tc>
          <w:tcPr>
            <w:tcW w:type="dxa" w:w="190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</w:t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мегаватт</w:t>
            </w:r>
          </w:p>
        </w:tc>
        <w:tc>
          <w:tcPr>
            <w:tcW w:type="dxa" w:w="32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гигакалорий в час</w:t>
            </w:r>
          </w:p>
        </w:tc>
      </w:tr>
      <w:tr>
        <w:tc>
          <w:tcPr>
            <w:tcW w:type="dxa" w:w="288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Температурный график</w:t>
            </w:r>
          </w:p>
        </w:tc>
        <w:tc>
          <w:tcPr>
            <w:tcW w:type="dxa" w:w="505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°С</w:t>
            </w:r>
          </w:p>
        </w:tc>
      </w:tr>
      <w:tr>
        <w:tc>
          <w:tcPr>
            <w:tcW w:type="dxa" w:w="288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Давление в точке подключения</w:t>
            </w:r>
          </w:p>
        </w:tc>
        <w:tc>
          <w:tcPr>
            <w:tcW w:type="dxa" w:w="505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атмосфер</w:t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объекта с установкой в нем приборов учета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врезки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</w:p>
        </w:tc>
        <w:tc>
          <w:tcPr>
            <w:tcW w:type="dxa" w:w="962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водоснабжение</w:t>
            </w:r>
          </w:p>
        </w:tc>
      </w:tr>
      <w:tr>
        <w:tc>
          <w:tcPr>
            <w:tcW w:type="dxa" w:w="288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расход холодной воды</w:t>
            </w:r>
          </w:p>
        </w:tc>
        <w:tc>
          <w:tcPr>
            <w:tcW w:type="dxa" w:w="505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литры в сутки</w:t>
            </w:r>
          </w:p>
        </w:tc>
      </w:tr>
      <w:tr>
        <w:tc>
          <w:tcPr>
            <w:tcW w:type="dxa" w:w="288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Давление в точке подключения</w:t>
            </w:r>
          </w:p>
        </w:tc>
        <w:tc>
          <w:tcPr>
            <w:tcW w:type="dxa" w:w="505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атмосфер</w:t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объекта с установкой в нем приборов учета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врезки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</w:p>
        </w:tc>
        <w:tc>
          <w:tcPr>
            <w:tcW w:type="dxa" w:w="981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канализацию</w:t>
            </w:r>
          </w:p>
        </w:tc>
      </w:tr>
      <w:tr>
        <w:tc>
          <w:tcPr>
            <w:tcW w:type="dxa" w:w="288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сточных вод</w:t>
            </w:r>
          </w:p>
        </w:tc>
        <w:tc>
          <w:tcPr>
            <w:tcW w:type="dxa" w:w="505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литры в сутки</w:t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сточных вод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Бытовые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Производственные</w:t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врезки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технических условий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технологического присоединения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присоединение осуществляется на основании согласованного в установленном порядке проектного решения с соблюдением требований строительных, санитарных и технических норм и правил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самовольное присоединение к сетям инженерно-технического обеспечения запрещается и влечет ответственность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все работы по подключению выполняются специализированными организациями, имеющими соответствующую лицензию или допуск.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ФИО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 МП
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УСЛОВИЯ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подключение объекта строительства, реконструкции, перепрофилирования либо перепланировки к существующим сетям электроснабжения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245"/>
        <w:gridCol w:w="2021"/>
        <w:gridCol w:w="2021"/>
        <w:gridCol w:w="2021"/>
        <w:gridCol w:w="1813"/>
        <w:gridCol w:w="1813"/>
      </w:tblGrid>
      <w:tr>
        <w:tc>
          <w:tcPr>
            <w:tcW w:type="dxa" w:w="4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6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6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</w:tc>
      </w:tr>
      <w:tr>
        <w:tc>
          <w:tcPr>
            <w:tcW w:type="dxa" w:w="4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инженерно-технической службы</w:t>
            </w:r>
          </w:p>
        </w:tc>
        <w:tc>
          <w:tcPr>
            <w:tcW w:type="dxa" w:w="3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для связи (адрес, телефон, электронная почта)</w:t>
            </w:r>
          </w:p>
        </w:tc>
        <w:tc>
          <w:tcPr>
            <w:tcW w:type="dxa" w:w="3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заказчика</w:t>
            </w:r>
          </w:p>
        </w:tc>
        <w:tc>
          <w:tcPr>
            <w:tcW w:type="dxa" w:w="3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объекта в формате точного адреса с возможным указанием пересекающихся улиц</w:t>
            </w:r>
          </w:p>
        </w:tc>
        <w:tc>
          <w:tcPr>
            <w:tcW w:type="dxa" w:w="3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параметры</w:t>
            </w:r>
          </w:p>
        </w:tc>
      </w:tr>
      <w:tr>
        <w:tc>
          <w:tcPr>
            <w:tcW w:type="dxa" w:w="25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Разрешенная мощность</w:t>
            </w:r>
          </w:p>
        </w:tc>
        <w:tc>
          <w:tcPr>
            <w:tcW w:type="dxa" w:w="58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киловатт</w:t>
            </w:r>
          </w:p>
        </w:tc>
      </w:tr>
      <w:tr>
        <w:tc>
          <w:tcPr>
            <w:tcW w:type="dxa" w:w="45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</w:t>
            </w:r>
          </w:p>
        </w:tc>
        <w:tc>
          <w:tcPr>
            <w:tcW w:type="dxa" w:w="56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0.4 кВ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 кВ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 кВ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иное</w:t>
            </w:r>
          </w:p>
        </w:tc>
      </w:tr>
      <w:tr>
        <w:tc>
          <w:tcPr>
            <w:tcW w:type="dxa" w:w="45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Категорийность электроприемников</w:t>
            </w:r>
          </w:p>
        </w:tc>
        <w:tc>
          <w:tcPr>
            <w:tcW w:type="dxa" w:w="56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объекта с установкой в нем приборов учета</w:t>
            </w:r>
          </w:p>
        </w:tc>
        <w:tc>
          <w:tcPr>
            <w:tcW w:type="dxa" w:w="56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врезки</w:t>
            </w:r>
          </w:p>
        </w:tc>
        <w:tc>
          <w:tcPr>
            <w:tcW w:type="dxa" w:w="56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</w:t>
            </w:r>
          </w:p>
        </w:tc>
        <w:tc>
          <w:tcPr>
            <w:tcW w:type="dxa" w:w="56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технических условий</w:t>
            </w:r>
          </w:p>
        </w:tc>
        <w:tc>
          <w:tcPr>
            <w:tcW w:type="dxa" w:w="56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технологического присоединения</w:t>
            </w:r>
          </w:p>
        </w:tc>
        <w:tc>
          <w:tcPr>
            <w:tcW w:type="dxa" w:w="56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присоединение осуществляется на основании согласованного в установленном порядке проектного решения с соблюдением требований строительных, санитарных и технических норм и правил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самовольное присоединение к сетям инженерно-технического обеспечения запрещается и влечет ответственность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все работы по подключению выполняются специализированными организациями, имеющими соответствующую лицензию или допуск.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ФИО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 МП
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УСЛОВИЯ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подключение объекта строительства, реконструкции, перепрофилирования либо перепланировки к существующим сетям газоснабжения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1"/>
        <w:gridCol w:w="2027"/>
        <w:gridCol w:w="2027"/>
        <w:gridCol w:w="2027"/>
        <w:gridCol w:w="1767"/>
        <w:gridCol w:w="1767"/>
      </w:tblGrid>
      <w:tr>
        <w:tc>
          <w:tcPr>
            <w:tcW w:type="dxa" w:w="5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5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инженерно-технической службы</w:t>
            </w:r>
          </w:p>
        </w:tc>
        <w:tc>
          <w:tcPr>
            <w:tcW w:type="dxa" w:w="35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для связи (адрес, телефон, электронная почта)</w:t>
            </w:r>
          </w:p>
        </w:tc>
        <w:tc>
          <w:tcPr>
            <w:tcW w:type="dxa" w:w="35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заказчика</w:t>
            </w:r>
          </w:p>
        </w:tc>
        <w:tc>
          <w:tcPr>
            <w:tcW w:type="dxa" w:w="35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объекта в формате точного адреса с возможным указанием пересекающихся улиц</w:t>
            </w:r>
          </w:p>
        </w:tc>
        <w:tc>
          <w:tcPr>
            <w:tcW w:type="dxa" w:w="35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параметры</w:t>
            </w:r>
          </w:p>
        </w:tc>
      </w:tr>
      <w:tr>
        <w:tc>
          <w:tcPr>
            <w:tcW w:type="dxa" w:w="258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расход газа</w:t>
            </w:r>
          </w:p>
        </w:tc>
        <w:tc>
          <w:tcPr>
            <w:tcW w:type="dxa" w:w="5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кубический метр в час</w:t>
            </w:r>
          </w:p>
        </w:tc>
      </w:tr>
      <w:tr>
        <w:tc>
          <w:tcPr>
            <w:tcW w:type="dxa" w:w="258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Давление на вводе</w:t>
            </w:r>
          </w:p>
        </w:tc>
        <w:tc>
          <w:tcPr>
            <w:tcW w:type="dxa" w:w="5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килопаскаль</w:t>
            </w:r>
          </w:p>
        </w:tc>
      </w:tr>
      <w:tr>
        <w:tc>
          <w:tcPr>
            <w:tcW w:type="dxa" w:w="461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газа</w:t>
            </w:r>
          </w:p>
        </w:tc>
        <w:tc>
          <w:tcPr>
            <w:tcW w:type="dxa" w:w="5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Природный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Сжиженный</w:t>
            </w:r>
          </w:p>
        </w:tc>
      </w:tr>
      <w:tr>
        <w:tc>
          <w:tcPr>
            <w:tcW w:type="dxa" w:w="461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объекта с установкой в нем приборов учета</w:t>
            </w:r>
          </w:p>
        </w:tc>
        <w:tc>
          <w:tcPr>
            <w:tcW w:type="dxa" w:w="5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1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врезки</w:t>
            </w:r>
          </w:p>
        </w:tc>
        <w:tc>
          <w:tcPr>
            <w:tcW w:type="dxa" w:w="5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1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</w:t>
            </w:r>
          </w:p>
        </w:tc>
        <w:tc>
          <w:tcPr>
            <w:tcW w:type="dxa" w:w="5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технических условий</w:t>
            </w:r>
          </w:p>
        </w:tc>
        <w:tc>
          <w:tcPr>
            <w:tcW w:type="dxa" w:w="5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технологического присоединения</w:t>
            </w:r>
          </w:p>
        </w:tc>
        <w:tc>
          <w:tcPr>
            <w:tcW w:type="dxa" w:w="5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присоединение осуществляется на основании согласованного в установленном порядке проектного решения с соблюдением требований строительных, санитарных и технических норм и правил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самовольное присоединение к сетям инженерно-технического обеспечения запрещается и влечет ответственность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все работы по подключению выполняются специализированными организациями, имеющими соответствующую лицензию или допуск.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ФИО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 МП
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   УСЛОВИЯ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подключение объекта строительства, реконструкции, перепрофилирования либо перепланировки к существующим сетям телефонизации и другим видам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3"/>
        <w:gridCol w:w="2000"/>
        <w:gridCol w:w="2000"/>
        <w:gridCol w:w="2000"/>
        <w:gridCol w:w="1813"/>
        <w:gridCol w:w="1813"/>
      </w:tblGrid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6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инженерно-технической службы</w:t>
            </w:r>
          </w:p>
        </w:tc>
        <w:tc>
          <w:tcPr>
            <w:tcW w:type="dxa" w:w="3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для связи (адрес, телефон, электронная почта)</w:t>
            </w:r>
          </w:p>
        </w:tc>
        <w:tc>
          <w:tcPr>
            <w:tcW w:type="dxa" w:w="3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заказчика</w:t>
            </w:r>
          </w:p>
        </w:tc>
        <w:tc>
          <w:tcPr>
            <w:tcW w:type="dxa" w:w="3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объекта в формате точного адреса с возможным указанием пересекающихся улиц</w:t>
            </w:r>
          </w:p>
        </w:tc>
        <w:tc>
          <w:tcPr>
            <w:tcW w:type="dxa" w:w="3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2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параметры</w:t>
            </w:r>
          </w:p>
        </w:tc>
      </w:tr>
      <w:tr>
        <w:tc>
          <w:tcPr>
            <w:tcW w:type="dxa" w:w="455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Разрешенное количество абонентских линий / каналов</w:t>
            </w:r>
          </w:p>
        </w:tc>
        <w:tc>
          <w:tcPr>
            <w:tcW w:type="dxa" w:w="5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подключения</w:t>
            </w:r>
          </w:p>
        </w:tc>
        <w:tc>
          <w:tcPr>
            <w:tcW w:type="dxa" w:w="5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Медное подключение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Оптоволоконное подключение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Радиоканал / беспроводная передача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Прочее: _______________________</w:t>
            </w:r>
          </w:p>
        </w:tc>
      </w:tr>
      <w:tr>
        <w:tc>
          <w:tcPr>
            <w:tcW w:type="dxa" w:w="25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Пропускная способность</w:t>
            </w:r>
          </w:p>
        </w:tc>
        <w:tc>
          <w:tcPr>
            <w:tcW w:type="dxa" w:w="58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мегабит в секунду</w:t>
            </w:r>
          </w:p>
        </w:tc>
      </w:tr>
      <w:tr>
        <w:tc>
          <w:tcPr>
            <w:tcW w:type="dxa" w:w="455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Протоколы / стандарты</w:t>
            </w:r>
          </w:p>
        </w:tc>
        <w:tc>
          <w:tcPr>
            <w:tcW w:type="dxa" w:w="5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объекта с установкой в нем приборов учета</w:t>
            </w:r>
          </w:p>
        </w:tc>
        <w:tc>
          <w:tcPr>
            <w:tcW w:type="dxa" w:w="5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врезки</w:t>
            </w:r>
          </w:p>
        </w:tc>
        <w:tc>
          <w:tcPr>
            <w:tcW w:type="dxa" w:w="5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</w:t>
            </w:r>
          </w:p>
        </w:tc>
        <w:tc>
          <w:tcPr>
            <w:tcW w:type="dxa" w:w="5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технических условий</w:t>
            </w:r>
          </w:p>
        </w:tc>
        <w:tc>
          <w:tcPr>
            <w:tcW w:type="dxa" w:w="5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технологического присоединения</w:t>
            </w:r>
          </w:p>
        </w:tc>
        <w:tc>
          <w:tcPr>
            <w:tcW w:type="dxa" w:w="5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присоединение осуществляется на основании согласованного в установленном порядке проектного решения с соблюдением требований строительных, санитарных и технических норм и правил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самовольное присоединение к сетям инженерно-технического обеспечения запрещается и влечет ответственность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все работы по подключению выполняются специализированными организациями, имеющими соответствующую лицензию или допуск.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ФИО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МП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mjy2l4jekakzanavc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dalil.kg/document/230029222</w:t>
      </w:r>
    </w:hyperlink>
  </w:p>
  <w:p>
    <w:pPr>
      <w:spacing w:after="0" w:before="40"/>
      <w:jc w:val="center"/>
    </w:pPr>
    <w:hyperlink w:history="1" r:id="rIdtjjynf-aeevektjdiym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hh_l2y0qs5vkuxjb8g3" Type="http://schemas.openxmlformats.org/officeDocument/2006/relationships/hyperlink" Target="https://dalil.kg/document/230029201" TargetMode="External"/><Relationship Id="rIdjdzoihtlwz-wul0y1ldhh" Type="http://schemas.openxmlformats.org/officeDocument/2006/relationships/hyperlink" Target="https://dalil.kg/document/230031975" TargetMode="External"/><Relationship Id="rIdlxgogxp9hggzdlgshexit" Type="http://schemas.openxmlformats.org/officeDocument/2006/relationships/hyperlink" Target="https://dalil.kg/document/230035559" TargetMode="External"/><Relationship Id="rId18wo2g6x9evpiwhee27v4" Type="http://schemas.openxmlformats.org/officeDocument/2006/relationships/hyperlink" Target="https://dalil.kg/document/230035559" TargetMode="External"/><Relationship Id="rIdelsoqtr0dl-cklvpx5dfo" Type="http://schemas.openxmlformats.org/officeDocument/2006/relationships/hyperlink" Target="https://dalil.kg/document/230035559" TargetMode="External"/><Relationship Id="rIddbenuwubxxqj91qm0sqft" Type="http://schemas.openxmlformats.org/officeDocument/2006/relationships/hyperlink" Target="https://dalil.kg/document/230035559" TargetMode="External"/><Relationship Id="rIdlcgxe2zyv_n98cxhnzts6" Type="http://schemas.openxmlformats.org/officeDocument/2006/relationships/hyperlink" Target="https://dalil.kg/document/230031975" TargetMode="External"/><Relationship Id="rIdvgp5iq9qdwozsizijzsi3" Type="http://schemas.openxmlformats.org/officeDocument/2006/relationships/hyperlink" Target="https://dalil.kg/document/230031975" TargetMode="External"/><Relationship Id="rIdft5nt8qmh1r2ogmzc8vum" Type="http://schemas.openxmlformats.org/officeDocument/2006/relationships/hyperlink" Target="https://dalil.kg/document/230031975" TargetMode="External"/><Relationship Id="rIdqmawcnr7omwieskt4esvy" Type="http://schemas.openxmlformats.org/officeDocument/2006/relationships/hyperlink" Target="https://dalil.kg/document/230031975" TargetMode="External"/><Relationship Id="rIda71nkcnn2wuprj1dknwtr" Type="http://schemas.openxmlformats.org/officeDocument/2006/relationships/hyperlink" Target="https://dalil.kg/document/230031975" TargetMode="External"/><Relationship Id="rIdlgqtikva4tky2kanfivgj" Type="http://schemas.openxmlformats.org/officeDocument/2006/relationships/hyperlink" Target="https://dalil.kg/document/230031975" TargetMode="External"/><Relationship Id="rIdh2j8hyer1x91ookpve1cv" Type="http://schemas.openxmlformats.org/officeDocument/2006/relationships/hyperlink" Target="https://dalil.kg/document/230031975" TargetMode="External"/><Relationship Id="rIdp0asn7xsz5elcctvhnwkg" Type="http://schemas.openxmlformats.org/officeDocument/2006/relationships/hyperlink" Target="https://dalil.kg/document/230031975" TargetMode="External"/><Relationship Id="rIdboirfebzalfcoqmaw8tpn" Type="http://schemas.openxmlformats.org/officeDocument/2006/relationships/hyperlink" Target="https://dalil.kg/document/230031975" TargetMode="External"/><Relationship Id="rId09tywoqwbvqaiiv_nvoro" Type="http://schemas.openxmlformats.org/officeDocument/2006/relationships/hyperlink" Target="https://dalil.kg/document/230031975" TargetMode="External"/><Relationship Id="rIdg3zzat9ooor3mazbhfldx" Type="http://schemas.openxmlformats.org/officeDocument/2006/relationships/hyperlink" Target="https://dalil.kg/document/230031975" TargetMode="External"/><Relationship Id="rIdtoagoxudbfrfsrul4sez_" Type="http://schemas.openxmlformats.org/officeDocument/2006/relationships/hyperlink" Target="https://dalil.kg/document/230031975" TargetMode="External"/><Relationship Id="rIdqyypkpsab6oj7wygblvre" Type="http://schemas.openxmlformats.org/officeDocument/2006/relationships/hyperlink" Target="https://dalil.kg/document/230031975" TargetMode="External"/><Relationship Id="rIdhzssays06_i2x3vgffqfg" Type="http://schemas.openxmlformats.org/officeDocument/2006/relationships/hyperlink" Target="https://dalil.kg/document/230031975" TargetMode="External"/><Relationship Id="rId0pihz1fmphaqcktj1ozzg" Type="http://schemas.openxmlformats.org/officeDocument/2006/relationships/hyperlink" Target="https://dalil.kg/document/230031975" TargetMode="External"/><Relationship Id="rIdzdnwjc4llbyhzj6rgawig" Type="http://schemas.openxmlformats.org/officeDocument/2006/relationships/hyperlink" Target="https://dalil.kg/document/230031975" TargetMode="External"/><Relationship Id="rIdoxozrvf1qzfybs57lvzb4" Type="http://schemas.openxmlformats.org/officeDocument/2006/relationships/hyperlink" Target="https://dalil.kg/document/230031975" TargetMode="External"/><Relationship Id="rIdqtrnplpqtc16ve8dawgwk" Type="http://schemas.openxmlformats.org/officeDocument/2006/relationships/hyperlink" Target="https://dalil.kg/document/23003197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mjy2l4jekakzanavcvm" Type="http://schemas.openxmlformats.org/officeDocument/2006/relationships/hyperlink" Target="https://dalil.kg/document/230029222" TargetMode="External"/><Relationship Id="rIdtjjynf-aeevektjdiym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2026-09-27T06:34:21.766Z</dcterms:created>
  <dcterms:modified xsi:type="dcterms:W3CDTF">2026-09-27T06:34:21.766Z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