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4nl3yxea7zr85tab-89hx">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27 ноября 2025 года № 760</w:t>
      </w:r>
    </w:p>
    <w:p>
      <w:pPr>
        <w:spacing w:after="36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16 июня 2025 года № 344</w:t>
      </w:r>
    </w:p>
    <w:p>
      <w:pPr>
        <w:spacing w:after="240" w:before="200"/>
        <w:jc w:val="center"/>
      </w:pPr>
      <w:r>
        <w:rPr>
          <w:rFonts w:ascii="Arial" w:cs="Arial" w:eastAsia="Arial" w:hAnsi="Arial"/>
          <w:b/>
          <w:bCs/>
          <w:sz w:val="28"/>
          <w:szCs w:val="28"/>
        </w:rPr>
        <w:t xml:space="preserve">О внесении изменений в постановление Правительства Кыргызской Республики "Об утверждении Правил приема квалификационных экзаменов, выдачи водительских удостоверений и удостоверений тракториста-машиниста" от 18 декабря 2017 года № 819</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реализации </w:t>
      </w:r>
      <w:hyperlink w:history="1" r:id="rIdwlkwrf7rwkwyhpkdytp-w">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дополнительных мерах по повышению эффективности и дебюрократизации системы государственной службы Кыргызской Республики" от 10 марта 2025 года № 83, в соответствии со статьями </w:t>
      </w:r>
      <w:hyperlink w:history="1" r:id="rId1oxaptqkbatv_8vdtj7z2">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mdehkm7-ihz7mutrrpsas">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sz w:val="24"/>
          <w:szCs w:val="24"/>
        </w:rPr>
        <w:t xml:space="preserve">1. Внести в </w:t>
      </w:r>
      <w:hyperlink w:history="1" r:id="rIdyz1vau5u-ecitkjzet4c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Правил приема квалификационных экзаменов, выдачи водительских удостоверений и удостоверений тракториста-машиниста" от 18 декабря 2017 года № 819 следующие изменения:</w:t>
      </w:r>
    </w:p>
    <w:p>
      <w:pPr>
        <w:spacing w:after="120"/>
        <w:ind w:firstLine="567"/>
        <w:jc w:val="both"/>
      </w:pPr>
      <w:r>
        <w:rPr>
          <w:rFonts w:ascii="Arial" w:cs="Arial" w:eastAsia="Arial" w:hAnsi="Arial"/>
          <w:sz w:val="24"/>
          <w:szCs w:val="24"/>
        </w:rPr>
        <w:t xml:space="preserve">1) в </w:t>
      </w:r>
      <w:hyperlink w:history="1" r:id="rIdcc1ukcbrhmyuolck4tyxv">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приема квалификационных экзаменов и выдачи водительских удостоверений, утвержденных вышеуказанным </w:t>
      </w:r>
      <w:hyperlink w:history="1" r:id="rIdkms2gpkv14s4eunvjabq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в пункте 10 слова "и в личную карточку водителя" исключить;</w:t>
      </w:r>
    </w:p>
    <w:p>
      <w:pPr>
        <w:spacing w:after="120"/>
        <w:ind w:firstLine="567"/>
        <w:jc w:val="both"/>
      </w:pPr>
      <w:r>
        <w:rPr>
          <w:rFonts w:ascii="Arial" w:cs="Arial" w:eastAsia="Arial" w:hAnsi="Arial"/>
          <w:sz w:val="24"/>
          <w:szCs w:val="24"/>
        </w:rPr>
        <w:t xml:space="preserve">- в пункте 12:</w:t>
      </w:r>
    </w:p>
    <w:p>
      <w:pPr>
        <w:spacing w:after="120"/>
        <w:ind w:firstLine="567"/>
        <w:jc w:val="both"/>
      </w:pPr>
      <w:r>
        <w:rPr>
          <w:rFonts w:ascii="Arial" w:cs="Arial" w:eastAsia="Arial" w:hAnsi="Arial"/>
          <w:sz w:val="24"/>
          <w:szCs w:val="24"/>
        </w:rPr>
        <w:t xml:space="preserve">абзац восьмой признать утратившим силу;</w:t>
      </w:r>
    </w:p>
    <w:p>
      <w:pPr>
        <w:spacing w:after="120"/>
        <w:ind w:firstLine="567"/>
        <w:jc w:val="both"/>
      </w:pPr>
      <w:r>
        <w:rPr>
          <w:rFonts w:ascii="Arial" w:cs="Arial" w:eastAsia="Arial" w:hAnsi="Arial"/>
          <w:sz w:val="24"/>
          <w:szCs w:val="24"/>
        </w:rPr>
        <w:t xml:space="preserve">в абзаце тринадцатом слова ", личная карточка водителя" исключить;</w:t>
      </w:r>
    </w:p>
    <w:p>
      <w:pPr>
        <w:spacing w:after="120"/>
        <w:ind w:firstLine="567"/>
        <w:jc w:val="both"/>
      </w:pPr>
      <w:r>
        <w:rPr>
          <w:rFonts w:ascii="Arial" w:cs="Arial" w:eastAsia="Arial" w:hAnsi="Arial"/>
          <w:sz w:val="24"/>
          <w:szCs w:val="24"/>
        </w:rPr>
        <w:t xml:space="preserve">- пункт 43 изложить в следующей редакции:</w:t>
      </w:r>
    </w:p>
    <w:p>
      <w:pPr>
        <w:spacing w:after="120"/>
        <w:ind w:firstLine="567"/>
        <w:jc w:val="both"/>
      </w:pPr>
      <w:r>
        <w:rPr>
          <w:rFonts w:ascii="Arial" w:cs="Arial" w:eastAsia="Arial" w:hAnsi="Arial"/>
          <w:sz w:val="24"/>
          <w:szCs w:val="24"/>
        </w:rPr>
        <w:t xml:space="preserve">"43. Для выдачи национального и/или международного водительского удостоверения взамен ранее выданного национального и/или международного водительского удостоверения заявителем представляются следующие документы:</w:t>
      </w:r>
    </w:p>
    <w:p>
      <w:pPr>
        <w:spacing w:after="120"/>
        <w:ind w:firstLine="567"/>
        <w:jc w:val="both"/>
      </w:pPr>
      <w:r>
        <w:rPr>
          <w:rFonts w:ascii="Arial" w:cs="Arial" w:eastAsia="Arial" w:hAnsi="Arial"/>
          <w:sz w:val="24"/>
          <w:szCs w:val="24"/>
        </w:rPr>
        <w:t xml:space="preserve">- персональный идентификационный номер гражданина Кыргызской Республики, иностранного гражданина, выдаваемый уполномоченным органом в сфере регистрации населения;</w:t>
      </w:r>
    </w:p>
    <w:p>
      <w:pPr>
        <w:spacing w:after="120"/>
        <w:ind w:firstLine="567"/>
        <w:jc w:val="both"/>
      </w:pPr>
      <w:r>
        <w:rPr>
          <w:rFonts w:ascii="Arial" w:cs="Arial" w:eastAsia="Arial" w:hAnsi="Arial"/>
          <w:sz w:val="24"/>
          <w:szCs w:val="24"/>
        </w:rPr>
        <w:t xml:space="preserve">- заявление по форме, установленной уполномоченным государственным органом в сфере регистрации транспортных средств и водительского состава;</w:t>
      </w:r>
    </w:p>
    <w:p>
      <w:pPr>
        <w:spacing w:after="120"/>
        <w:ind w:firstLine="567"/>
        <w:jc w:val="both"/>
      </w:pPr>
      <w:r>
        <w:rPr>
          <w:rFonts w:ascii="Arial" w:cs="Arial" w:eastAsia="Arial" w:hAnsi="Arial"/>
          <w:sz w:val="24"/>
          <w:szCs w:val="24"/>
        </w:rPr>
        <w:t xml:space="preserve">- удостоверение личности в цифровом формате посредством мобильного приложения "Тундук" или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 паспорт гражданина Кыргызской Республики образца 2024 года (ID-карта) либо общегражданский паспорт гражданина Кыргызской Республики образца 2020, 2023 годов, либо общегражданский паспорт гражданина Кыргызской Республики - для граждан Кыргызской Республики, находящихся или пребывающих за пределами Кыргызской Республики;</w:t>
      </w:r>
    </w:p>
    <w:p>
      <w:pPr>
        <w:spacing w:after="120"/>
        <w:ind w:firstLine="567"/>
        <w:jc w:val="both"/>
      </w:pPr>
      <w:r>
        <w:rPr>
          <w:rFonts w:ascii="Arial" w:cs="Arial" w:eastAsia="Arial" w:hAnsi="Arial"/>
          <w:sz w:val="24"/>
          <w:szCs w:val="24"/>
        </w:rPr>
        <w:t xml:space="preserve">- для иностранных граждан и лиц без гражданства - паспорт с действующей визой или вид на жительство, выданный уполномоченным органом, определяемым Кабинетом Министров Кыргызской Республики, или регистрационный документ, выданный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 документ, подтверждающий прохождение медицинского освидетельствования (наркологическое обследование, определение психического здоровья, проверка зрения), по форме, утвержденной уполномоченным государственным органом в сфере здравоохранения Кыргызской Республики, выданный уполномоченным государственным медицинским учреждением, определяемым уполномоченным государственным органом в сфере здравоохранения Кыргызской Республики, дата выдачи которого не должна превышать 12 месяцев;</w:t>
      </w:r>
    </w:p>
    <w:p>
      <w:pPr>
        <w:spacing w:after="120"/>
        <w:ind w:firstLine="567"/>
        <w:jc w:val="both"/>
      </w:pPr>
      <w:r>
        <w:rPr>
          <w:rFonts w:ascii="Arial" w:cs="Arial" w:eastAsia="Arial" w:hAnsi="Arial"/>
          <w:sz w:val="24"/>
          <w:szCs w:val="24"/>
        </w:rPr>
        <w:t xml:space="preserve">- для граждан Кыргызской Республики, находящихся или пребывающих за пределами Кыргызской Республики, обратившихся в дипломатические представительства или консульские учреждения Кыргызской Республики, - документ, подтверждающий прохождение медицинского освидетельствования (наркологическое обследование, определение психического здоровья, проверка зрения), выданный уполномоченным медицинским учреждением/органом иностранного государства, дата выдачи которого не должна превышать 12 месяцев, с нотариально заверенным переводом на государственный или официальный язык, с отметкой о консульской легализации или проставлением апостиля в установленном порядке,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 водительское удостоверение в цифровом формате посредством мобильного приложения "Тундук" или национальное и/или международное водительское удостоверение (при утере не предоставляются);</w:t>
      </w:r>
    </w:p>
    <w:p>
      <w:pPr>
        <w:spacing w:after="120"/>
        <w:ind w:firstLine="567"/>
        <w:jc w:val="both"/>
      </w:pPr>
      <w:r>
        <w:rPr>
          <w:rFonts w:ascii="Arial" w:cs="Arial" w:eastAsia="Arial" w:hAnsi="Arial"/>
          <w:sz w:val="24"/>
          <w:szCs w:val="24"/>
        </w:rPr>
        <w:t xml:space="preserve">- свидетельство об обучении на курсах подготовки водителей автомототранспортных средств, выдаваемое учебными организациями, занимающимися подготовкой водительского состава. Свидетельство не предоставляется при наличии сведений в электронной базе данных. При отсутствии свидетельства об обучении и сведений в электронной информационной системе предоставляется документ, подтверждающий выдачу водительского удостоверения из территориального органа, выдавшего водительское удостоверение, с указанием даты выдачи, номера водительского удостоверения и реестра.</w:t>
      </w:r>
    </w:p>
    <w:p>
      <w:pPr>
        <w:spacing w:after="120"/>
        <w:ind w:firstLine="567"/>
        <w:jc w:val="both"/>
      </w:pPr>
      <w:r>
        <w:rPr>
          <w:rFonts w:ascii="Arial" w:cs="Arial" w:eastAsia="Arial" w:hAnsi="Arial"/>
          <w:sz w:val="24"/>
          <w:szCs w:val="24"/>
        </w:rPr>
        <w:t xml:space="preserve">Оригиналы представленных документов сканируются в автоматизированную информационную систему для хранения и возвращаются владельцу после заполнения всех реквизитов при замене водительского удостоверения.";</w:t>
      </w:r>
    </w:p>
    <w:p>
      <w:pPr>
        <w:spacing w:after="120"/>
        <w:ind w:firstLine="567"/>
        <w:jc w:val="both"/>
      </w:pPr>
      <w:r>
        <w:rPr>
          <w:rFonts w:ascii="Arial" w:cs="Arial" w:eastAsia="Arial" w:hAnsi="Arial"/>
          <w:sz w:val="24"/>
          <w:szCs w:val="24"/>
        </w:rPr>
        <w:t xml:space="preserve">- абзацы десятый-двенадцатый пункта 64 признать утратившими силу;</w:t>
      </w:r>
    </w:p>
    <w:p>
      <w:pPr>
        <w:spacing w:after="120"/>
        <w:ind w:firstLine="567"/>
        <w:jc w:val="both"/>
      </w:pPr>
      <w:r>
        <w:rPr>
          <w:rFonts w:ascii="Arial" w:cs="Arial" w:eastAsia="Arial" w:hAnsi="Arial"/>
          <w:sz w:val="24"/>
          <w:szCs w:val="24"/>
        </w:rPr>
        <w:t xml:space="preserve">- в абзаце первом пункта 67 слова ", копии личных карточек водителей" исключить;</w:t>
      </w:r>
    </w:p>
    <w:p>
      <w:pPr>
        <w:spacing w:after="120"/>
        <w:ind w:firstLine="567"/>
        <w:jc w:val="both"/>
      </w:pPr>
      <w:r>
        <w:rPr>
          <w:rFonts w:ascii="Arial" w:cs="Arial" w:eastAsia="Arial" w:hAnsi="Arial"/>
          <w:sz w:val="24"/>
          <w:szCs w:val="24"/>
        </w:rPr>
        <w:t xml:space="preserve">- пункт 68 изложить в следующей редакции:</w:t>
      </w:r>
    </w:p>
    <w:p>
      <w:pPr>
        <w:spacing w:after="120"/>
        <w:ind w:firstLine="567"/>
        <w:jc w:val="both"/>
      </w:pPr>
      <w:r>
        <w:rPr>
          <w:rFonts w:ascii="Arial" w:cs="Arial" w:eastAsia="Arial" w:hAnsi="Arial"/>
          <w:sz w:val="24"/>
          <w:szCs w:val="24"/>
        </w:rPr>
        <w:t xml:space="preserve">"68. Свидетельства об обучении, документ, подтверждающий прохождение медицинского освидетельствования, сканируются в автоматизированной информационной системе для хранения и после заполнения всех реквизитов при выдаче водительских удостоверений возвращаются владельцу.";</w:t>
      </w:r>
    </w:p>
    <w:p>
      <w:pPr>
        <w:spacing w:after="120"/>
        <w:ind w:firstLine="567"/>
        <w:jc w:val="both"/>
      </w:pPr>
      <w:r>
        <w:rPr>
          <w:rFonts w:ascii="Arial" w:cs="Arial" w:eastAsia="Arial" w:hAnsi="Arial"/>
          <w:sz w:val="24"/>
          <w:szCs w:val="24"/>
        </w:rPr>
        <w:t xml:space="preserve">2) в </w:t>
      </w:r>
      <w:hyperlink w:history="1" r:id="rIdalriex3xp6t_iqm1kbbfy">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приема квалификационных экзаменов и выдачи удостоверений тракториста-машиниста, утвержденных вышеуказанным </w:t>
      </w:r>
      <w:hyperlink w:history="1" r:id="rIdnc-i0czasm7xnmnraso6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в пунктах 34, 39, 40 слова "и личной карточке", "и личной карточки" исключить;</w:t>
      </w:r>
    </w:p>
    <w:p>
      <w:pPr>
        <w:spacing w:after="120"/>
        <w:ind w:firstLine="567"/>
        <w:jc w:val="both"/>
      </w:pPr>
      <w:r>
        <w:rPr>
          <w:rFonts w:ascii="Arial" w:cs="Arial" w:eastAsia="Arial" w:hAnsi="Arial"/>
          <w:sz w:val="24"/>
          <w:szCs w:val="24"/>
        </w:rPr>
        <w:t xml:space="preserve">- в абзаце первом пункта 43 слова ", личная карточка тракториста-машиниста" исключить.</w:t>
      </w:r>
    </w:p>
    <w:p>
      <w:pPr>
        <w:spacing w:after="120"/>
        <w:ind w:firstLine="567"/>
        <w:jc w:val="both"/>
      </w:pPr>
      <w:r>
        <w:rPr>
          <w:rFonts w:ascii="Arial" w:cs="Arial" w:eastAsia="Arial" w:hAnsi="Arial"/>
          <w:sz w:val="24"/>
          <w:szCs w:val="24"/>
        </w:rPr>
        <w:t xml:space="preserve">2. Государственному агентству по регистрации транспортных средств и водительского состава при Кабинете Министров Кыргызской Республики принять меры, вытекающие из настоящего постановления.</w:t>
      </w:r>
    </w:p>
    <w:p>
      <w:pPr>
        <w:spacing w:after="120"/>
        <w:ind w:firstLine="567"/>
        <w:jc w:val="both"/>
      </w:pPr>
      <w:r>
        <w:rPr>
          <w:rFonts w:ascii="Arial" w:cs="Arial" w:eastAsia="Arial" w:hAnsi="Arial"/>
          <w:sz w:val="24"/>
          <w:szCs w:val="24"/>
        </w:rPr>
        <w:t xml:space="preserve">3.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ind w:firstLine="567"/>
        <w:jc w:val="both"/>
      </w:pPr>
      <w:r>
        <w:rPr>
          <w:rFonts w:ascii="Arial" w:cs="Arial" w:eastAsia="Arial" w:hAnsi="Arial"/>
          <w:sz w:val="24"/>
          <w:szCs w:val="24"/>
        </w:rPr>
        <w:t xml:space="preserve">4. Настоящее постановление вступает в силу по истечении десяти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Опубликовано в официальной государственной газете "Эркин Тоо" от 20 июня 2025 года № 45 (3701)</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b/>
          <w:bCs/>
          <w:sz w:val="24"/>
          <w:szCs w:val="24"/>
        </w:rPr>
        <w:t xml:space="preserve">Кабинета Министров </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A.А. Касымалиев</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pe262lwitmtgeiz75hfo">
      <w:r>
        <w:rPr>
          <w:rFonts w:ascii="Arial" w:cs="Arial" w:eastAsia="Arial" w:hAnsi="Arial"/>
          <w:color w:val="132D3F"/>
          <w:sz w:val="16"/>
          <w:szCs w:val="16"/>
          <w:u w:val="single"/>
        </w:rPr>
        <w:t xml:space="preserve">dalil.kg/document/230029224</w:t>
      </w:r>
    </w:hyperlink>
  </w:p>
  <w:p>
    <w:pPr>
      <w:spacing w:after="0" w:before="40"/>
      <w:jc w:val="center"/>
    </w:pPr>
    <w:hyperlink w:history="1" r:id="rId-xm2ac1rra-jcxcdwple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nl3yxea7zr85tab-89hx" Type="http://schemas.openxmlformats.org/officeDocument/2006/relationships/hyperlink" Target="https://dalil.kg/document/230035416" TargetMode="External"/><Relationship Id="rIdwlkwrf7rwkwyhpkdytp-w" Type="http://schemas.openxmlformats.org/officeDocument/2006/relationships/hyperlink" Target="https://dalil.kg/document/230023484" TargetMode="External"/><Relationship Id="rId1oxaptqkbatv_8vdtj7z2" Type="http://schemas.openxmlformats.org/officeDocument/2006/relationships/hyperlink" Target="https://dalil.kg/document/112301#st_13" TargetMode="External"/><Relationship Id="rIdmdehkm7-ihz7mutrrpsas" Type="http://schemas.openxmlformats.org/officeDocument/2006/relationships/hyperlink" Target="https://dalil.kg/document/112301#st_17" TargetMode="External"/><Relationship Id="rIdyz1vau5u-ecitkjzet4cj" Type="http://schemas.openxmlformats.org/officeDocument/2006/relationships/hyperlink" Target="https://dalil.kg/document/11616" TargetMode="External"/><Relationship Id="rIdcc1ukcbrhmyuolck4tyxv" Type="http://schemas.openxmlformats.org/officeDocument/2006/relationships/hyperlink" Target="https://dalil.kg/document/11617" TargetMode="External"/><Relationship Id="rIdkms2gpkv14s4eunvjabqx" Type="http://schemas.openxmlformats.org/officeDocument/2006/relationships/hyperlink" Target="https://dalil.kg/document/11616" TargetMode="External"/><Relationship Id="rIdalriex3xp6t_iqm1kbbfy" Type="http://schemas.openxmlformats.org/officeDocument/2006/relationships/hyperlink" Target="https://dalil.kg/document/11618" TargetMode="External"/><Relationship Id="rIdnc-i0czasm7xnmnraso63" Type="http://schemas.openxmlformats.org/officeDocument/2006/relationships/hyperlink" Target="https://dalil.kg/document/11616"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pe262lwitmtgeiz75hfo" Type="http://schemas.openxmlformats.org/officeDocument/2006/relationships/hyperlink" Target="https://dalil.kg/document/230029224" TargetMode="External"/><Relationship Id="rId-xm2ac1rra-jcxcdwple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2026-09-24T08:53:14.161Z</dcterms:created>
  <dcterms:modified xsi:type="dcterms:W3CDTF">2026-09-24T08:53:14.161Z</dcterms:modified>
</cp:coreProperties>
</file>

<file path=docProps/custom.xml><?xml version="1.0" encoding="utf-8"?>
<Properties xmlns="http://schemas.openxmlformats.org/officeDocument/2006/custom-properties" xmlns:vt="http://schemas.openxmlformats.org/officeDocument/2006/docPropsVTypes"/>
</file>