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w:t>
      </w:r>
    </w:p>
    <w:p>
      <w:pPr>
        <w:spacing w:after="120"/>
        <w:jc w:val="center"/>
      </w:pPr>
      <w:r>
        <w:rPr>
          <w:rFonts w:ascii="Arial" w:cs="Arial" w:eastAsia="Arial" w:hAnsi="Arial"/>
          <w:i/>
          <w:iCs/>
          <w:sz w:val="24"/>
          <w:szCs w:val="24"/>
        </w:rPr>
        <w:t xml:space="preserve">в соответствии с </w:t>
      </w:r>
      <w:hyperlink w:history="1" r:id="rId-dqftaz5ugtwjxbze7x6u">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9 июня 2026 года № 404</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28 мая 2025 года № 282</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2025/2026 года</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3upc79939cy747x1phdbi">
        <w:r>
          <w:rPr>
            <w:rFonts w:ascii="Arial" w:cs="Arial" w:eastAsia="Arial" w:hAnsi="Arial"/>
            <w:i/>
            <w:iCs/>
            <w:color w:val="1D4ED8"/>
            <w:sz w:val="24"/>
            <w:szCs w:val="24"/>
            <w:u w:val="single"/>
          </w:rPr>
          <w:t xml:space="preserve">11 февраля 2026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2025/2026 года, в соответствии со статьями </w:t>
      </w:r>
      <w:hyperlink w:history="1" r:id="rIdryay29ytuu52cttoujxa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89vmc0seq5pepac95l_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Министерствам, государственному комитету, административным ведомствам, государственному предприятию "Кыргызкомур" при Министерстве энергетики Кыргызской Республики (далее - ГП "Кыргызкомур"),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теплоснабжающим предприятиям,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"Чакан ГЭС", "Кыргызнефтегаз", обществу с ограниченной ответственностью (далее - ОсОО) "Газпром Кыргызстан":</w:t>
      </w:r>
    </w:p>
    <w:p>
      <w:pPr>
        <w:spacing w:after="60"/>
        <w:ind w:firstLine="567"/>
        <w:jc w:val="both"/>
      </w:pPr>
      <w:r>
        <w:rPr>
          <w:rFonts w:ascii="Arial" w:cs="Arial" w:eastAsia="Arial" w:hAnsi="Arial"/>
          <w:sz w:val="24"/>
          <w:szCs w:val="24"/>
        </w:rPr>
        <w:t xml:space="preserve">1) обеспечить выполнение лимитов потребления электроэнергии и мощности, графиков и заданий согласно приложениям </w:t>
      </w:r>
      <w:hyperlink w:history="1" r:id="rIdcttsi1cvqeckunjt9hthf">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rr5ihozat1xlduvln9yu-">
        <w:r>
          <w:rPr>
            <w:rFonts w:ascii="Arial" w:cs="Arial" w:eastAsia="Arial" w:hAnsi="Arial"/>
            <w:color w:val="1D4ED8"/>
            <w:sz w:val="24"/>
            <w:szCs w:val="24"/>
            <w:u w:val="single"/>
          </w:rPr>
          <w:t xml:space="preserve">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двухнедельный срок разработать организационно-технические мероприятия по подготовке к осенне-зимнему периоду с учетом результатов прохождения осенне-зимнего периода 2024/2025 года;</w:t>
      </w:r>
    </w:p>
    <w:p>
      <w:pPr>
        <w:spacing w:after="60"/>
        <w:ind w:firstLine="567"/>
        <w:jc w:val="both"/>
      </w:pPr>
      <w:r>
        <w:rPr>
          <w:rFonts w:ascii="Arial" w:cs="Arial" w:eastAsia="Arial" w:hAnsi="Arial"/>
          <w:sz w:val="24"/>
          <w:szCs w:val="24"/>
        </w:rPr>
        <w:t xml:space="preserve">3) в недельный срок создать во всех областях, городах Бишкек и Ош постоянно действующие штабы по подготовке к осенне-зимнему периоду для ежемесячного мониторинга хода подготовки к осенне-зимнему периоду 2025/2026 года:</w:t>
      </w:r>
    </w:p>
    <w:p>
      <w:pPr>
        <w:spacing w:after="60"/>
        <w:ind w:firstLine="567"/>
        <w:jc w:val="both"/>
      </w:pPr>
      <w:r>
        <w:rPr>
          <w:rFonts w:ascii="Arial" w:cs="Arial" w:eastAsia="Arial" w:hAnsi="Arial"/>
          <w:sz w:val="24"/>
          <w:szCs w:val="24"/>
        </w:rPr>
        <w:t xml:space="preserve">- котельных теплоснабжающих предприятий, ведомственных и промышленных котельных, связанных с теплоснабжением населения;</w:t>
      </w:r>
    </w:p>
    <w:p>
      <w:pPr>
        <w:spacing w:after="60"/>
        <w:ind w:firstLine="567"/>
        <w:jc w:val="both"/>
      </w:pPr>
      <w:r>
        <w:rPr>
          <w:rFonts w:ascii="Arial" w:cs="Arial" w:eastAsia="Arial" w:hAnsi="Arial"/>
          <w:sz w:val="24"/>
          <w:szCs w:val="24"/>
        </w:rPr>
        <w:t xml:space="preserve">- качества подготовки социальных объектов к отопительному периоду;</w:t>
      </w:r>
    </w:p>
    <w:p>
      <w:pPr>
        <w:spacing w:after="60"/>
        <w:ind w:firstLine="567"/>
        <w:jc w:val="both"/>
      </w:pPr>
      <w:r>
        <w:rPr>
          <w:rFonts w:ascii="Arial" w:cs="Arial" w:eastAsia="Arial" w:hAnsi="Arial"/>
          <w:sz w:val="24"/>
          <w:szCs w:val="24"/>
        </w:rPr>
        <w:t xml:space="preserve">- дополнительных топливных баз;</w:t>
      </w:r>
    </w:p>
    <w:p>
      <w:pPr>
        <w:spacing w:after="60"/>
        <w:ind w:firstLine="567"/>
        <w:jc w:val="both"/>
      </w:pPr>
      <w:r>
        <w:rPr>
          <w:rFonts w:ascii="Arial" w:cs="Arial" w:eastAsia="Arial" w:hAnsi="Arial"/>
          <w:sz w:val="24"/>
          <w:szCs w:val="24"/>
        </w:rPr>
        <w:t xml:space="preserve">4) в срок до 1 июля 2025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обязательным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 экологии и технического надзора Кыргызской Республики (для учреждений, имеющих на балансе отопительные котельные и другие виды теплоэнергетического оборудования);</w:t>
      </w:r>
    </w:p>
    <w:p>
      <w:pPr>
        <w:spacing w:after="60"/>
        <w:ind w:firstLine="567"/>
        <w:jc w:val="both"/>
      </w:pPr>
      <w:r>
        <w:rPr>
          <w:rFonts w:ascii="Arial" w:cs="Arial" w:eastAsia="Arial" w:hAnsi="Arial"/>
          <w:sz w:val="24"/>
          <w:szCs w:val="24"/>
        </w:rPr>
        <w:t xml:space="preserve">5) в срок до 1 июля 2025 года принять меры по проведению государственных закупок топливных ресурсов для бюджетных организаций, заключить договоры на их поставку;</w:t>
      </w:r>
    </w:p>
    <w:p>
      <w:pPr>
        <w:spacing w:after="60"/>
        <w:ind w:firstLine="567"/>
        <w:jc w:val="both"/>
      </w:pPr>
      <w:r>
        <w:rPr>
          <w:rFonts w:ascii="Arial" w:cs="Arial" w:eastAsia="Arial" w:hAnsi="Arial"/>
          <w:sz w:val="24"/>
          <w:szCs w:val="24"/>
        </w:rPr>
        <w:t xml:space="preserve">6)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567"/>
        <w:jc w:val="both"/>
      </w:pPr>
      <w:r>
        <w:rPr>
          <w:rFonts w:ascii="Arial" w:cs="Arial" w:eastAsia="Arial" w:hAnsi="Arial"/>
          <w:sz w:val="24"/>
          <w:szCs w:val="24"/>
        </w:rPr>
        <w:t xml:space="preserve">7)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осенне-зимнему периоду;</w:t>
      </w:r>
    </w:p>
    <w:p>
      <w:pPr>
        <w:spacing w:after="60"/>
        <w:ind w:firstLine="567"/>
        <w:jc w:val="both"/>
      </w:pPr>
      <w:r>
        <w:rPr>
          <w:rFonts w:ascii="Arial" w:cs="Arial" w:eastAsia="Arial" w:hAnsi="Arial"/>
          <w:sz w:val="24"/>
          <w:szCs w:val="24"/>
        </w:rPr>
        <w:t xml:space="preserve">8) ежемесячно предоставлять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закупки угля, выполнении плановых заданий по заготовке топлива, создании топливных баз и пунктов реализации угля с указанием рыночных цен на уголь.</w:t>
      </w:r>
    </w:p>
    <w:p>
      <w:pPr>
        <w:spacing w:after="60"/>
        <w:ind w:firstLine="567"/>
        <w:jc w:val="both"/>
      </w:pPr>
      <w:r>
        <w:rPr>
          <w:rFonts w:ascii="Arial" w:cs="Arial" w:eastAsia="Arial" w:hAnsi="Arial"/>
          <w:sz w:val="24"/>
          <w:szCs w:val="24"/>
        </w:rPr>
        <w:t xml:space="preserve">2. Конкурсным комиссиям теплоснабжающих предприятий (по согласованию) временно, на период подготовки и прохождения осенне-зимнего периода 2025/2026 года, исключить для ОАО "Кыргызнефтегаз" и ГП "Кыргызкомур"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3. Службе антимонопольного регулирования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муниципальное предприятие "Бишкек теплоэлектроцентраль" (далее - МП "Бишкек ТЭЦ") и теплоснабжающим предприятиям согласно представленному перечню ГП "Кыргызкомур" совместно с мэрией города Бишкек;</w:t>
      </w:r>
    </w:p>
    <w:p>
      <w:pPr>
        <w:spacing w:after="60"/>
        <w:ind w:firstLine="567"/>
        <w:jc w:val="both"/>
      </w:pPr>
      <w:r>
        <w:rPr>
          <w:rFonts w:ascii="Arial" w:cs="Arial" w:eastAsia="Arial" w:hAnsi="Arial"/>
          <w:sz w:val="24"/>
          <w:szCs w:val="24"/>
        </w:rPr>
        <w:t xml:space="preserve">2) установить цену для совместных угледобывающих иностранных компаний, передающих часть добытого угля на безвозмездной основе кыргызской стороне;</w:t>
      </w:r>
    </w:p>
    <w:p>
      <w:pPr>
        <w:spacing w:after="60"/>
        <w:ind w:firstLine="567"/>
        <w:jc w:val="both"/>
      </w:pPr>
      <w:r>
        <w:rPr>
          <w:rFonts w:ascii="Arial" w:cs="Arial" w:eastAsia="Arial" w:hAnsi="Arial"/>
          <w:sz w:val="24"/>
          <w:szCs w:val="24"/>
        </w:rPr>
        <w:t xml:space="preserve">3) установить оптовые цены на реализуемый уголь по группам потребителей для угледобывающих компаний, имеющих лицензию;</w:t>
      </w:r>
    </w:p>
    <w:p>
      <w:pPr>
        <w:spacing w:after="60"/>
        <w:ind w:firstLine="567"/>
        <w:jc w:val="both"/>
      </w:pPr>
      <w:r>
        <w:rPr>
          <w:rFonts w:ascii="Arial" w:cs="Arial" w:eastAsia="Arial" w:hAnsi="Arial"/>
          <w:sz w:val="24"/>
          <w:szCs w:val="24"/>
        </w:rPr>
        <w:t xml:space="preserve">4) установить цены на перевозку угля и мазута автотранспортными средствами с учетом обратного направления 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представленным ГП "Кыргызкомур" и теплоснабжающими предприятиями;</w:t>
      </w:r>
    </w:p>
    <w:p>
      <w:pPr>
        <w:spacing w:after="60"/>
        <w:ind w:firstLine="567"/>
        <w:jc w:val="both"/>
      </w:pPr>
      <w:r>
        <w:rPr>
          <w:rFonts w:ascii="Arial" w:cs="Arial" w:eastAsia="Arial" w:hAnsi="Arial"/>
          <w:sz w:val="24"/>
          <w:szCs w:val="24"/>
        </w:rPr>
        <w:t xml:space="preserve">5)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(расчетам) ГП "Кыргызкомур", которая распространяется на всех участников угледобывающих предприятий;</w:t>
      </w:r>
    </w:p>
    <w:p>
      <w:pPr>
        <w:spacing w:after="60"/>
        <w:ind w:firstLine="567"/>
        <w:jc w:val="both"/>
      </w:pPr>
      <w:r>
        <w:rPr>
          <w:rFonts w:ascii="Arial" w:cs="Arial" w:eastAsia="Arial" w:hAnsi="Arial"/>
          <w:sz w:val="24"/>
          <w:szCs w:val="24"/>
        </w:rPr>
        <w:t xml:space="preserve">6) установить для ОАО "Кыргызнефтегаз" цену на топочный мазут марки "М-100" для поставки на МП "Бишкек ТЭЦ", муниципальное предприятие "Теплоэлектроцентраль города Ош" (далее - МП "ТЭЦ города Ош") и теплоснабжающим предприятиям;</w:t>
      </w:r>
    </w:p>
    <w:p>
      <w:pPr>
        <w:spacing w:after="60"/>
        <w:ind w:firstLine="567"/>
        <w:jc w:val="both"/>
      </w:pPr>
      <w:r>
        <w:rPr>
          <w:rFonts w:ascii="Arial" w:cs="Arial" w:eastAsia="Arial" w:hAnsi="Arial"/>
          <w:sz w:val="24"/>
          <w:szCs w:val="24"/>
        </w:rPr>
        <w:t xml:space="preserve">7) в случае изменения (увеличения или снижения) затрат пересмотреть цены (стоимость услуг), установление которых предусмотрено настоящим постановлением;</w:t>
      </w:r>
    </w:p>
    <w:p>
      <w:pPr>
        <w:spacing w:after="60"/>
        <w:ind w:firstLine="567"/>
        <w:jc w:val="both"/>
      </w:pPr>
      <w:r>
        <w:rPr>
          <w:rFonts w:ascii="Arial" w:cs="Arial" w:eastAsia="Arial" w:hAnsi="Arial"/>
          <w:sz w:val="24"/>
          <w:szCs w:val="24"/>
        </w:rPr>
        <w:t xml:space="preserve">8) осуществлять государственный контроль за правильностью формирования и применения цен (стоимости услуг), установление которых предусмотрено настоящим постановлением.</w:t>
      </w:r>
    </w:p>
    <w:p>
      <w:pPr>
        <w:spacing w:after="60"/>
        <w:ind w:firstLine="567"/>
        <w:jc w:val="both"/>
      </w:pPr>
      <w:r>
        <w:rPr>
          <w:rFonts w:ascii="Arial" w:cs="Arial" w:eastAsia="Arial" w:hAnsi="Arial"/>
          <w:sz w:val="24"/>
          <w:szCs w:val="24"/>
        </w:rPr>
        <w:t xml:space="preserve">4. Полномочным представителям Президента Кыргызской Республики в областях, местным государственным администрациям, мэриям городов Бишкек и Ош (по согласованию), Службе антимонопольного регулирования при Министерстве экономики и коммерции Кыргызской Республики и Министерству энергетики Кыргызской Республики принимать меры по недопущению роста цен на уголь на топливных базах и в пунктах реализации, осуществляющих поставку угля для населения.</w:t>
      </w:r>
    </w:p>
    <w:p>
      <w:pPr>
        <w:spacing w:after="60"/>
        <w:ind w:firstLine="567"/>
        <w:jc w:val="both"/>
      </w:pPr>
      <w:r>
        <w:rPr>
          <w:rFonts w:ascii="Arial" w:cs="Arial" w:eastAsia="Arial" w:hAnsi="Arial"/>
          <w:sz w:val="24"/>
          <w:szCs w:val="24"/>
        </w:rPr>
        <w:t xml:space="preserve">5.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 установленном порядке принимать решения о введении временного государственного регулирования цен на уголь.</w:t>
      </w:r>
    </w:p>
    <w:p>
      <w:pPr>
        <w:spacing w:after="60"/>
        <w:ind w:firstLine="567"/>
        <w:jc w:val="both"/>
      </w:pPr>
      <w:r>
        <w:rPr>
          <w:rFonts w:ascii="Arial" w:cs="Arial" w:eastAsia="Arial" w:hAnsi="Arial"/>
          <w:sz w:val="24"/>
          <w:szCs w:val="24"/>
        </w:rPr>
        <w:t xml:space="preserve">6. Министерству финансов Кыргызской Республики обеспечить в течение 2025 года своевременное выделение компенсационных средств для лиц, проживающих в условиях высокогорья и отдаленных труднодоступных зонах Кыргызской Республики, в пределах средств, предусмотренных </w:t>
      </w:r>
      <w:hyperlink w:history="1" r:id="rIdigeory4hl3jmg4v8lix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2025 год и плановый период 2026-2027 годов".</w:t>
      </w:r>
    </w:p>
    <w:p>
      <w:pPr>
        <w:spacing w:after="60"/>
        <w:ind w:firstLine="567"/>
        <w:jc w:val="both"/>
      </w:pPr>
      <w:r>
        <w:rPr>
          <w:rFonts w:ascii="Arial" w:cs="Arial" w:eastAsia="Arial" w:hAnsi="Arial"/>
          <w:sz w:val="24"/>
          <w:szCs w:val="24"/>
        </w:rPr>
        <w:t xml:space="preserve">7. Министерству транспорта и коммуникаций Кыргызской Республики:</w:t>
      </w:r>
    </w:p>
    <w:p>
      <w:pPr>
        <w:spacing w:after="60"/>
        <w:ind w:firstLine="567"/>
        <w:jc w:val="both"/>
      </w:pPr>
      <w:r>
        <w:rPr>
          <w:rFonts w:ascii="Arial" w:cs="Arial" w:eastAsia="Arial" w:hAnsi="Arial"/>
          <w:sz w:val="24"/>
          <w:szCs w:val="24"/>
        </w:rPr>
        <w:t xml:space="preserve">1)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650 (шестьсот пятьдесят)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железнодорожных станций "Аламедин" (МП "Бишкек ТЭЦ") и "Бишкек-1" с 1 июля 2025 года по 1 июля 2026 года;</w:t>
      </w:r>
    </w:p>
    <w:p>
      <w:pPr>
        <w:spacing w:after="60"/>
        <w:ind w:firstLine="567"/>
        <w:jc w:val="both"/>
      </w:pPr>
      <w:r>
        <w:rPr>
          <w:rFonts w:ascii="Arial" w:cs="Arial" w:eastAsia="Arial" w:hAnsi="Arial"/>
          <w:sz w:val="24"/>
          <w:szCs w:val="24"/>
        </w:rPr>
        <w:t xml:space="preserve">2) освободить грузоотправителей и грузополучателей отечественных угледобывающих компаний и МП "Бишкек ТЭЦ" от начисления штрафов за простои вагонов и сбора за хранение груза, пени за несвоевременную оплату услуг при перевозке угля во внутриреспубликанском сообщении в соответствии с установленной процедурой.</w:t>
      </w:r>
    </w:p>
    <w:p>
      <w:pPr>
        <w:spacing w:after="60"/>
        <w:ind w:firstLine="567"/>
        <w:jc w:val="both"/>
      </w:pPr>
      <w:r>
        <w:rPr>
          <w:rFonts w:ascii="Arial" w:cs="Arial" w:eastAsia="Arial" w:hAnsi="Arial"/>
          <w:sz w:val="24"/>
          <w:szCs w:val="24"/>
        </w:rPr>
        <w:t xml:space="preserve">8.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60"/>
        <w:ind w:firstLine="567"/>
        <w:jc w:val="both"/>
      </w:pPr>
      <w:r>
        <w:rPr>
          <w:rFonts w:ascii="Arial" w:cs="Arial" w:eastAsia="Arial" w:hAnsi="Arial"/>
          <w:sz w:val="24"/>
          <w:szCs w:val="24"/>
        </w:rPr>
        <w:t xml:space="preserve">1) в срок до 1 июня 2025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60"/>
        <w:ind w:firstLine="567"/>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60"/>
        <w:ind w:firstLine="567"/>
        <w:jc w:val="both"/>
      </w:pPr>
      <w:r>
        <w:rPr>
          <w:rFonts w:ascii="Arial" w:cs="Arial" w:eastAsia="Arial" w:hAnsi="Arial"/>
          <w:sz w:val="24"/>
          <w:szCs w:val="24"/>
        </w:rPr>
        <w:t xml:space="preserve">5) обеспечить переход электрических котлов на использование альтернативных источников энергии (уголь, газ, централизованное отопление) до начала осенне-зимнего периода 2025/2026 года;</w:t>
      </w:r>
    </w:p>
    <w:p>
      <w:pPr>
        <w:spacing w:after="60"/>
        <w:ind w:firstLine="567"/>
        <w:jc w:val="both"/>
      </w:pPr>
      <w:r>
        <w:rPr>
          <w:rFonts w:ascii="Arial" w:cs="Arial" w:eastAsia="Arial" w:hAnsi="Arial"/>
          <w:sz w:val="24"/>
          <w:szCs w:val="24"/>
        </w:rPr>
        <w:t xml:space="preserve">6)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120"/>
        <w:ind w:firstLine="567"/>
        <w:jc w:val="both"/>
      </w:pPr>
      <w:r>
        <w:rPr>
          <w:rFonts w:ascii="Arial" w:cs="Arial" w:eastAsia="Arial" w:hAnsi="Arial"/>
          <w:sz w:val="24"/>
          <w:szCs w:val="24"/>
        </w:rPr>
        <w:t xml:space="preserve">7. Министерству транспорта и коммуникаций Кыргызской Республики:</w:t>
      </w:r>
    </w:p>
    <w:p>
      <w:pPr>
        <w:spacing w:after="120"/>
        <w:ind w:firstLine="567"/>
        <w:jc w:val="both"/>
      </w:pPr>
      <w:r>
        <w:rPr>
          <w:rFonts w:ascii="Arial" w:cs="Arial" w:eastAsia="Arial" w:hAnsi="Arial"/>
          <w:sz w:val="24"/>
          <w:szCs w:val="24"/>
        </w:rPr>
        <w:t xml:space="preserve">1)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650 (шестьсот пятьдесят)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железнодорожных станций "Аламедин" (МП "Бишкек ТЭЦ") и "Бишкек-1" с 1 июля 2025 года по 1 июля 2026 года;</w:t>
      </w:r>
    </w:p>
    <w:p>
      <w:pPr>
        <w:spacing w:after="120"/>
        <w:ind w:firstLine="567"/>
        <w:jc w:val="both"/>
      </w:pPr>
      <w:r>
        <w:rPr>
          <w:rFonts w:ascii="Arial" w:cs="Arial" w:eastAsia="Arial" w:hAnsi="Arial"/>
          <w:sz w:val="24"/>
          <w:szCs w:val="24"/>
        </w:rPr>
        <w:t xml:space="preserve">1-1)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с 1 декабря 2025 года до 31 марта 2026 года фиксированный тариф в размере 650 (шестьсот пятьдесят)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для населения от железнодорожной станции "Рыбачье" до железнодорожных станций "Токмок", "Кант" и "Аламедин" в адрес ОАО "Кыргызкомур";</w:t>
      </w:r>
    </w:p>
    <w:p>
      <w:pPr>
        <w:spacing w:after="120"/>
        <w:ind w:firstLine="567"/>
        <w:jc w:val="both"/>
      </w:pPr>
      <w:r>
        <w:rPr>
          <w:rFonts w:ascii="Arial" w:cs="Arial" w:eastAsia="Arial" w:hAnsi="Arial"/>
          <w:sz w:val="24"/>
          <w:szCs w:val="24"/>
        </w:rPr>
        <w:t xml:space="preserve">1-2) установить с 1 декабря 2025 года до 31 марта 2026 года коэффициент 0,75 к ставкам Тарифного руководства (Тарифы на грузовые железнодорожные перевозки в экспортном, импортном, транзитном и внутриреспубликанском сообщениях) на перевозку одной тонны угля марки "Б" для населения с учетом всех дополнительных сборов (без учета налогов) от железнодорожной станции "Рыбачье" до железнодорожных станций "Шопоково", "Беловодская", "Кара-Балта" в адрес ОАО "Кыргызкомур";</w:t>
      </w:r>
    </w:p>
    <w:p>
      <w:pPr>
        <w:spacing w:after="120"/>
        <w:ind w:firstLine="567"/>
        <w:jc w:val="both"/>
      </w:pPr>
      <w:r>
        <w:rPr>
          <w:rFonts w:ascii="Arial" w:cs="Arial" w:eastAsia="Arial" w:hAnsi="Arial"/>
          <w:sz w:val="24"/>
          <w:szCs w:val="24"/>
        </w:rPr>
        <w:t xml:space="preserve">2) освободить грузоотправителей и грузополучателей отечественных угледобывающих компаний и МП "Бишкек ТЭЦ" от начисления штрафов за простои вагонов и сбора за хранение груза, пени за несвоевременную оплату услуг при перевозке угля во внутриреспубликанском сообщении в соответствии с установленной процедурой.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pnz6kustwgkfncv4wug">
        <w:r>
          <w:rPr>
            <w:rFonts w:ascii="Arial" w:cs="Arial" w:eastAsia="Arial" w:hAnsi="Arial"/>
            <w:i/>
            <w:iCs/>
            <w:color w:val="1D4ED8"/>
            <w:sz w:val="24"/>
            <w:szCs w:val="24"/>
            <w:u w:val="single"/>
          </w:rPr>
          <w:t xml:space="preserve">11 февраля 2026 года № 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обеспечить в осенне-зимний период 2025/2026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p>
      <w:pPr>
        <w:spacing w:after="60"/>
        <w:ind w:firstLine="567"/>
        <w:jc w:val="both"/>
      </w:pPr>
      <w:r>
        <w:rPr>
          <w:rFonts w:ascii="Arial" w:cs="Arial" w:eastAsia="Arial" w:hAnsi="Arial"/>
          <w:sz w:val="24"/>
          <w:szCs w:val="24"/>
        </w:rPr>
        <w:t xml:space="preserve">9) обеспечить качественным топливным ресурсом социальные объекты, население и своевременное выделение средств льготной категории граждан;</w:t>
      </w:r>
    </w:p>
    <w:p>
      <w:pPr>
        <w:spacing w:after="60"/>
        <w:ind w:firstLine="567"/>
        <w:jc w:val="both"/>
      </w:pPr>
      <w:r>
        <w:rPr>
          <w:rFonts w:ascii="Arial" w:cs="Arial" w:eastAsia="Arial" w:hAnsi="Arial"/>
          <w:sz w:val="24"/>
          <w:szCs w:val="24"/>
        </w:rPr>
        <w:t xml:space="preserve">10) выделить земельные участки под строительство новых высоковольтных подстанций и линий электропередач по запросу ОАО "Национальная электрическая сеть Кыргызстана" в установленном порядке.</w:t>
      </w:r>
    </w:p>
    <w:p>
      <w:pPr>
        <w:spacing w:after="60"/>
        <w:ind w:firstLine="567"/>
        <w:jc w:val="both"/>
      </w:pPr>
      <w:r>
        <w:rPr>
          <w:rFonts w:ascii="Arial" w:cs="Arial" w:eastAsia="Arial" w:hAnsi="Arial"/>
          <w:sz w:val="24"/>
          <w:szCs w:val="24"/>
        </w:rPr>
        <w:t xml:space="preserve">9.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10. Государственному агентству по управлению государственным имуществом при Кабинете Министров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"Кыргызский энергетический расчетный центр", "Чакан ГЭС", "Кыргызнефтегаз", ОсОО "Газпром Кыргызстан", муниципальных теплоснабжающих предприятий, ГП "Кыргызкомур" и угледобывающих предприятий, задействованных в заготовке топлива.</w:t>
      </w:r>
    </w:p>
    <w:p>
      <w:pPr>
        <w:spacing w:after="60"/>
        <w:ind w:firstLine="567"/>
        <w:jc w:val="both"/>
      </w:pPr>
      <w:r>
        <w:rPr>
          <w:rFonts w:ascii="Arial" w:cs="Arial" w:eastAsia="Arial" w:hAnsi="Arial"/>
          <w:sz w:val="24"/>
          <w:szCs w:val="24"/>
        </w:rPr>
        <w:t xml:space="preserve">11. Министерству энергетики Кыргызской Республики в установленном порядке утвердить до 1 января 2026 года методику формирования лимитов потребления электрической, тепловой энергии и природного газа для бюджетных организаций, финансируемых из республиканского и местных бюджетов Кыргызской Республики, разработанной Научно-исследовательским институтом энергетики при Министерстве энергетики Кыргызской Республики.</w:t>
      </w:r>
    </w:p>
    <w:p>
      <w:pPr>
        <w:spacing w:after="60"/>
        <w:ind w:firstLine="567"/>
        <w:jc w:val="both"/>
      </w:pPr>
      <w:r>
        <w:rPr>
          <w:rFonts w:ascii="Arial" w:cs="Arial" w:eastAsia="Arial" w:hAnsi="Arial"/>
          <w:sz w:val="24"/>
          <w:szCs w:val="24"/>
        </w:rPr>
        <w:t xml:space="preserve">12. Министерству энергетики Кыргызской Республики совместно с энергетическими компаниями:</w:t>
      </w:r>
    </w:p>
    <w:p>
      <w:pPr>
        <w:spacing w:after="60"/>
        <w:ind w:firstLine="567"/>
        <w:jc w:val="both"/>
      </w:pPr>
      <w:r>
        <w:rPr>
          <w:rFonts w:ascii="Arial" w:cs="Arial" w:eastAsia="Arial" w:hAnsi="Arial"/>
          <w:sz w:val="24"/>
          <w:szCs w:val="24"/>
        </w:rPr>
        <w:t xml:space="preserve">1) принять меры по обеспечению надежного электроснабжения потребителей Кыргызской Республики и обеспечить строгий контроль за соблюдением потребителями установленных лимитов потребления электроэнергии и мощности, графиков и заданий согласно приложениям </w:t>
      </w:r>
      <w:hyperlink w:history="1" r:id="rIde45gkgyrtkfwdqxqub7p4">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_fskxirdbjnfp2medy7lp">
        <w:r>
          <w:rPr>
            <w:rFonts w:ascii="Arial" w:cs="Arial" w:eastAsia="Arial" w:hAnsi="Arial"/>
            <w:color w:val="1D4ED8"/>
            <w:sz w:val="24"/>
            <w:szCs w:val="24"/>
            <w:u w:val="single"/>
          </w:rPr>
          <w:t xml:space="preserve">20</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завершить ремонтные работы энергетического оборудования и сетей до начала отопительного сезона 2025/2026 года.</w:t>
      </w:r>
    </w:p>
    <w:p>
      <w:pPr>
        <w:spacing w:after="60"/>
        <w:ind w:firstLine="567"/>
        <w:jc w:val="both"/>
      </w:pPr>
      <w:r>
        <w:rPr>
          <w:rFonts w:ascii="Arial" w:cs="Arial" w:eastAsia="Arial" w:hAnsi="Arial"/>
          <w:sz w:val="24"/>
          <w:szCs w:val="24"/>
        </w:rPr>
        <w:t xml:space="preserve">13. Возложить персональную ответственность за:</w:t>
      </w:r>
    </w:p>
    <w:p>
      <w:pPr>
        <w:spacing w:after="60"/>
        <w:ind w:firstLine="567"/>
        <w:jc w:val="both"/>
      </w:pPr>
      <w:r>
        <w:rPr>
          <w:rFonts w:ascii="Arial" w:cs="Arial" w:eastAsia="Arial" w:hAnsi="Arial"/>
          <w:sz w:val="24"/>
          <w:szCs w:val="24"/>
        </w:rPr>
        <w:t xml:space="preserve">1) надлежащую подготовку, прохождение осенне-зимнего периода 2025/2026 года, обеспечение надежного бесперебойного снабжения потребителей энергетическими ресурсами на руководителей Министерства энергетики Кыргызской Республики, полномочных представителей Президента Кыргызской Республики в областях, глав местных государственных администраций, мэров городов Бишкек и Ош, руководителей ОАО "Электрические станции", "Национальная электрическая сеть Кыргызстана", "Чакан ГЭС" и муниципальных теплоснабжающих предприятий;</w:t>
      </w:r>
    </w:p>
    <w:p>
      <w:pPr>
        <w:spacing w:after="60"/>
        <w:ind w:firstLine="567"/>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мэров городов Бишкек и Ош, глав местных государственных администраций, айыл окмоту, руководителей Министерства энергетики Кыргызской Республики, ОАО "Национальная электрическая сеть Кыргызстана" и "Кыргызский энергетический расчетный центр";</w:t>
      </w:r>
    </w:p>
    <w:p>
      <w:pPr>
        <w:spacing w:after="60"/>
        <w:ind w:firstLine="567"/>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Министерства энергетики Кыргызской Республики, ОАО "Национальная электрическая сеть Кыргызстана", "Электрические станции", "Чакан ГЭС",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60"/>
        <w:ind w:firstLine="567"/>
        <w:jc w:val="both"/>
      </w:pPr>
      <w:r>
        <w:rPr>
          <w:rFonts w:ascii="Arial" w:cs="Arial" w:eastAsia="Arial" w:hAnsi="Arial"/>
          <w:sz w:val="24"/>
          <w:szCs w:val="24"/>
        </w:rPr>
        <w:t xml:space="preserve">4) предоставление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аппаратов полномочных представителей Президента Кыргызской Республики в областях, глав местных государственных администраций и руководителей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5)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14. ГП "Кыргызкомур" обеспечить поставку угля в необходимых объемах в соответствии с графиком для МП "Бишкек ТЭЦ" и теплоснабжающих предприятий, при этом обеспечить соответствующее качество угля.</w:t>
      </w:r>
    </w:p>
    <w:p>
      <w:pPr>
        <w:spacing w:after="60"/>
        <w:ind w:firstLine="567"/>
        <w:jc w:val="both"/>
      </w:pPr>
      <w:r>
        <w:rPr>
          <w:rFonts w:ascii="Arial" w:cs="Arial" w:eastAsia="Arial" w:hAnsi="Arial"/>
          <w:sz w:val="24"/>
          <w:szCs w:val="24"/>
        </w:rPr>
        <w:t xml:space="preserve">15. Мэрии города Бишкек совместно с ОсОО "Строй-Стоун":</w:t>
      </w:r>
    </w:p>
    <w:p>
      <w:pPr>
        <w:spacing w:after="60"/>
        <w:ind w:firstLine="567"/>
        <w:jc w:val="both"/>
      </w:pPr>
      <w:r>
        <w:rPr>
          <w:rFonts w:ascii="Arial" w:cs="Arial" w:eastAsia="Arial" w:hAnsi="Arial"/>
          <w:sz w:val="24"/>
          <w:szCs w:val="24"/>
        </w:rPr>
        <w:t xml:space="preserve">- отпустить уголь марки Б с участка "Агулак" месторождения Мин-Куш для МП "Бишкек ТЭЦ" в количестве 240,0 тыс. тонн на бесплатной основе;</w:t>
      </w:r>
    </w:p>
    <w:p>
      <w:pPr>
        <w:spacing w:after="60"/>
        <w:ind w:firstLine="567"/>
        <w:jc w:val="both"/>
      </w:pPr>
      <w:r>
        <w:rPr>
          <w:rFonts w:ascii="Arial" w:cs="Arial" w:eastAsia="Arial" w:hAnsi="Arial"/>
          <w:sz w:val="24"/>
          <w:szCs w:val="24"/>
        </w:rPr>
        <w:t xml:space="preserve">- МП "Бишкек ТЭЦ" оплатить сумму НДС за поставленный уголь на бесплатной основе.</w:t>
      </w:r>
    </w:p>
    <w:p>
      <w:pPr>
        <w:spacing w:after="60"/>
        <w:ind w:firstLine="567"/>
        <w:jc w:val="both"/>
      </w:pPr>
      <w:r>
        <w:rPr>
          <w:rFonts w:ascii="Arial" w:cs="Arial" w:eastAsia="Arial" w:hAnsi="Arial"/>
          <w:sz w:val="24"/>
          <w:szCs w:val="24"/>
        </w:rPr>
        <w:t xml:space="preserve">16. Рекомендовать ОАО "Кыргызнефтегаз":</w:t>
      </w:r>
    </w:p>
    <w:p>
      <w:pPr>
        <w:spacing w:after="60"/>
        <w:ind w:firstLine="567"/>
        <w:jc w:val="both"/>
      </w:pPr>
      <w:r>
        <w:rPr>
          <w:rFonts w:ascii="Arial" w:cs="Arial" w:eastAsia="Arial" w:hAnsi="Arial"/>
          <w:sz w:val="24"/>
          <w:szCs w:val="24"/>
        </w:rPr>
        <w:t xml:space="preserve">1) в срок до 1 июня 2025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МП "Бишкек ТЭЦ", МП "ТЭЦ города Ош" и теплоснабжающим предприятиям;</w:t>
      </w:r>
    </w:p>
    <w:p>
      <w:pPr>
        <w:spacing w:after="60"/>
        <w:ind w:firstLine="567"/>
        <w:jc w:val="both"/>
      </w:pPr>
      <w:r>
        <w:rPr>
          <w:rFonts w:ascii="Arial" w:cs="Arial" w:eastAsia="Arial" w:hAnsi="Arial"/>
          <w:sz w:val="24"/>
          <w:szCs w:val="24"/>
        </w:rPr>
        <w:t xml:space="preserve">2) обеспечить поставку топочного мазута МП "Бишкек ТЭЦ", МП "ТЭЦ города Ош" и теплоснабжающим предприятиям.</w:t>
      </w:r>
    </w:p>
    <w:p>
      <w:pPr>
        <w:spacing w:after="60"/>
        <w:ind w:firstLine="567"/>
        <w:jc w:val="both"/>
      </w:pPr>
      <w:r>
        <w:rPr>
          <w:rFonts w:ascii="Arial" w:cs="Arial" w:eastAsia="Arial" w:hAnsi="Arial"/>
          <w:sz w:val="24"/>
          <w:szCs w:val="24"/>
        </w:rPr>
        <w:t xml:space="preserve">17. Рекомендовать ОАО "Национальная электрическая сеть Кыргызстана":</w:t>
      </w:r>
    </w:p>
    <w:p>
      <w:pPr>
        <w:spacing w:after="60"/>
        <w:ind w:firstLine="567"/>
        <w:jc w:val="both"/>
      </w:pPr>
      <w:r>
        <w:rPr>
          <w:rFonts w:ascii="Arial" w:cs="Arial" w:eastAsia="Arial" w:hAnsi="Arial"/>
          <w:sz w:val="24"/>
          <w:szCs w:val="24"/>
        </w:rPr>
        <w:t xml:space="preserve">1) разработать, утвердить, довести до потребителей и соблюдать графики ограничения местной разгрузки;</w:t>
      </w:r>
    </w:p>
    <w:p>
      <w:pPr>
        <w:spacing w:after="60"/>
        <w:ind w:firstLine="567"/>
        <w:jc w:val="both"/>
      </w:pPr>
      <w:r>
        <w:rPr>
          <w:rFonts w:ascii="Arial" w:cs="Arial" w:eastAsia="Arial" w:hAnsi="Arial"/>
          <w:sz w:val="24"/>
          <w:szCs w:val="24"/>
        </w:rPr>
        <w:t xml:space="preserve">2) принять меры по сокращению количества аварийных отключений в электрических сетях напряжением 6-10 кВ;</w:t>
      </w:r>
    </w:p>
    <w:p>
      <w:pPr>
        <w:spacing w:after="60"/>
        <w:ind w:firstLine="567"/>
        <w:jc w:val="both"/>
      </w:pPr>
      <w:r>
        <w:rPr>
          <w:rFonts w:ascii="Arial" w:cs="Arial" w:eastAsia="Arial" w:hAnsi="Arial"/>
          <w:sz w:val="24"/>
          <w:szCs w:val="24"/>
        </w:rPr>
        <w:t xml:space="preserve">3) 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2025 года по март 2026 года;</w:t>
      </w:r>
    </w:p>
    <w:p>
      <w:pPr>
        <w:spacing w:after="60"/>
        <w:ind w:firstLine="567"/>
        <w:jc w:val="both"/>
      </w:pPr>
      <w:r>
        <w:rPr>
          <w:rFonts w:ascii="Arial" w:cs="Arial" w:eastAsia="Arial" w:hAnsi="Arial"/>
          <w:sz w:val="24"/>
          <w:szCs w:val="24"/>
        </w:rPr>
        <w:t xml:space="preserve">4) обеспечить снижение уровня потерь электрической энергии в электрических сетях напряжением 110-500 кВ до 5,50%, в электрических сетях напряжением 0,4-35 кВ до 11,30%, а также снижение дебиторской задолженности на 10%;</w:t>
      </w:r>
    </w:p>
    <w:p>
      <w:pPr>
        <w:spacing w:after="60"/>
        <w:ind w:firstLine="567"/>
        <w:jc w:val="both"/>
      </w:pPr>
      <w:r>
        <w:rPr>
          <w:rFonts w:ascii="Arial" w:cs="Arial" w:eastAsia="Arial" w:hAnsi="Arial"/>
          <w:sz w:val="24"/>
          <w:szCs w:val="24"/>
        </w:rPr>
        <w:t xml:space="preserve">5) обеспечить с учетом технической возможности импорт электрической энергии из Центральной Азии и Российской Федерации.</w:t>
      </w:r>
    </w:p>
    <w:p>
      <w:pPr>
        <w:spacing w:after="60"/>
        <w:ind w:firstLine="567"/>
        <w:jc w:val="both"/>
      </w:pPr>
      <w:r>
        <w:rPr>
          <w:rFonts w:ascii="Arial" w:cs="Arial" w:eastAsia="Arial" w:hAnsi="Arial"/>
          <w:sz w:val="24"/>
          <w:szCs w:val="24"/>
        </w:rPr>
        <w:t xml:space="preserve">18. Рекомендовать ОсОО "Газпром Кыргызстан":</w:t>
      </w:r>
    </w:p>
    <w:p>
      <w:pPr>
        <w:spacing w:after="60"/>
        <w:ind w:firstLine="567"/>
        <w:jc w:val="both"/>
      </w:pPr>
      <w:r>
        <w:rPr>
          <w:rFonts w:ascii="Arial" w:cs="Arial" w:eastAsia="Arial" w:hAnsi="Arial"/>
          <w:sz w:val="24"/>
          <w:szCs w:val="24"/>
        </w:rPr>
        <w:t xml:space="preserve">1) обеспечить бесперебойную поставку природного газа для потребителей Кыргызской Республики, в том числе теплоснабжающих и промышленных предприятий в осенне-зимний период 2025/2026 года;</w:t>
      </w:r>
    </w:p>
    <w:p>
      <w:pPr>
        <w:spacing w:after="60"/>
        <w:ind w:firstLine="567"/>
        <w:jc w:val="both"/>
      </w:pPr>
      <w:r>
        <w:rPr>
          <w:rFonts w:ascii="Arial" w:cs="Arial" w:eastAsia="Arial" w:hAnsi="Arial"/>
          <w:sz w:val="24"/>
          <w:szCs w:val="24"/>
        </w:rPr>
        <w:t xml:space="preserve">2) обеспечить выполнение Инвестиционной программы на 2025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3) на ежемесячной основе предоставлять информацию об исполнении Инвестиционной программы на 2025 год в Министерство энергетики Кыргызской Республики.</w:t>
      </w:r>
    </w:p>
    <w:p>
      <w:pPr>
        <w:spacing w:after="60"/>
        <w:ind w:firstLine="567"/>
        <w:jc w:val="both"/>
      </w:pPr>
      <w:r>
        <w:rPr>
          <w:rFonts w:ascii="Arial" w:cs="Arial" w:eastAsia="Arial" w:hAnsi="Arial"/>
          <w:sz w:val="24"/>
          <w:szCs w:val="24"/>
        </w:rPr>
        <w:t xml:space="preserve">19. Признать утратившими силу:</w:t>
      </w:r>
    </w:p>
    <w:p>
      <w:pPr>
        <w:spacing w:after="60"/>
        <w:ind w:firstLine="567"/>
        <w:jc w:val="both"/>
      </w:pPr>
      <w:r>
        <w:rPr>
          <w:rFonts w:ascii="Arial" w:cs="Arial" w:eastAsia="Arial" w:hAnsi="Arial"/>
          <w:sz w:val="24"/>
          <w:szCs w:val="24"/>
        </w:rPr>
        <w:t xml:space="preserve">1) </w:t>
      </w:r>
      <w:hyperlink w:history="1" r:id="rIdzq-51pz_o5fzapoxtmd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w:t>
      </w:r>
    </w:p>
    <w:p>
      <w:pPr>
        <w:spacing w:after="60"/>
        <w:ind w:firstLine="567"/>
        <w:jc w:val="both"/>
      </w:pPr>
      <w:r>
        <w:rPr>
          <w:rFonts w:ascii="Arial" w:cs="Arial" w:eastAsia="Arial" w:hAnsi="Arial"/>
          <w:sz w:val="24"/>
          <w:szCs w:val="24"/>
        </w:rPr>
        <w:t xml:space="preserve">2) </w:t>
      </w:r>
      <w:hyperlink w:history="1" r:id="rId_oxjnlcex8s9zjfhw6q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подготовки отраслей экономики и населения Кыргызской Республики к осенне-зимнему периоду" от 6 июля 2024 года № 367;</w:t>
      </w:r>
    </w:p>
    <w:p>
      <w:pPr>
        <w:spacing w:after="60"/>
        <w:ind w:firstLine="567"/>
        <w:jc w:val="both"/>
      </w:pPr>
      <w:r>
        <w:rPr>
          <w:rFonts w:ascii="Arial" w:cs="Arial" w:eastAsia="Arial" w:hAnsi="Arial"/>
          <w:sz w:val="24"/>
          <w:szCs w:val="24"/>
        </w:rPr>
        <w:t xml:space="preserve">3) </w:t>
      </w:r>
      <w:hyperlink w:history="1" r:id="rId02jdm1_cbxrusgiqvdx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pqpdkoyol4zcpcrtllx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 от 10 декабря 2024 года № 751.</w:t>
      </w:r>
    </w:p>
    <w:p>
      <w:pPr>
        <w:spacing w:after="60"/>
        <w:ind w:firstLine="567"/>
        <w:jc w:val="both"/>
      </w:pPr>
      <w:r>
        <w:rPr>
          <w:rFonts w:ascii="Arial" w:cs="Arial" w:eastAsia="Arial" w:hAnsi="Arial"/>
          <w:sz w:val="24"/>
          <w:szCs w:val="24"/>
        </w:rPr>
        <w:t xml:space="preserve">20.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21.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мая 2025 года № 39 (3695)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Примечание: Приложения </w:t>
      </w:r>
      <w:r>
        <w:rPr>
          <w:rFonts w:ascii="Arial" w:cs="Arial" w:eastAsia="Arial" w:hAnsi="Arial"/>
          <w:i/>
          <w:iCs/>
          <w:sz w:val="24"/>
          <w:szCs w:val="24"/>
        </w:rPr>
        <w:t xml:space="preserve">1</w:t>
      </w:r>
      <w:r>
        <w:rPr>
          <w:rFonts w:ascii="Arial" w:cs="Arial" w:eastAsia="Arial" w:hAnsi="Arial"/>
          <w:i/>
          <w:iCs/>
          <w:sz w:val="24"/>
          <w:szCs w:val="24"/>
        </w:rPr>
        <w:t xml:space="preserve">-</w:t>
      </w:r>
      <w:r>
        <w:rPr>
          <w:rFonts w:ascii="Arial" w:cs="Arial" w:eastAsia="Arial" w:hAnsi="Arial"/>
          <w:i/>
          <w:iCs/>
          <w:sz w:val="24"/>
          <w:szCs w:val="24"/>
        </w:rPr>
        <w:t xml:space="preserve">10</w:t>
      </w:r>
      <w:r>
        <w:rPr>
          <w:rFonts w:ascii="Arial" w:cs="Arial" w:eastAsia="Arial" w:hAnsi="Arial"/>
          <w:i/>
          <w:iCs/>
          <w:sz w:val="24"/>
          <w:szCs w:val="24"/>
        </w:rPr>
        <w:t xml:space="preserve">, </w:t>
      </w:r>
      <w:r>
        <w:rPr>
          <w:rFonts w:ascii="Arial" w:cs="Arial" w:eastAsia="Arial" w:hAnsi="Arial"/>
          <w:i/>
          <w:iCs/>
          <w:sz w:val="24"/>
          <w:szCs w:val="24"/>
        </w:rPr>
        <w:t xml:space="preserve">11</w:t>
      </w:r>
      <w:r>
        <w:rPr>
          <w:rFonts w:ascii="Arial" w:cs="Arial" w:eastAsia="Arial" w:hAnsi="Arial"/>
          <w:i/>
          <w:iCs/>
          <w:sz w:val="24"/>
          <w:szCs w:val="24"/>
        </w:rPr>
        <w:t xml:space="preserve">, </w:t>
      </w:r>
      <w:r>
        <w:rPr>
          <w:rFonts w:ascii="Arial" w:cs="Arial" w:eastAsia="Arial" w:hAnsi="Arial"/>
          <w:i/>
          <w:iCs/>
          <w:sz w:val="24"/>
          <w:szCs w:val="24"/>
        </w:rPr>
        <w:t xml:space="preserve">13</w:t>
      </w:r>
      <w:r>
        <w:rPr>
          <w:rFonts w:ascii="Arial" w:cs="Arial" w:eastAsia="Arial" w:hAnsi="Arial"/>
          <w:i/>
          <w:iCs/>
          <w:sz w:val="24"/>
          <w:szCs w:val="24"/>
        </w:rPr>
        <w:t xml:space="preserve">, </w:t>
      </w:r>
      <w:r>
        <w:rPr>
          <w:rFonts w:ascii="Arial" w:cs="Arial" w:eastAsia="Arial" w:hAnsi="Arial"/>
          <w:i/>
          <w:iCs/>
          <w:sz w:val="24"/>
          <w:szCs w:val="24"/>
        </w:rPr>
        <w:t xml:space="preserve">14</w:t>
      </w:r>
      <w:r>
        <w:rPr>
          <w:rFonts w:ascii="Arial" w:cs="Arial" w:eastAsia="Arial" w:hAnsi="Arial"/>
          <w:i/>
          <w:iCs/>
          <w:sz w:val="24"/>
          <w:szCs w:val="24"/>
        </w:rPr>
        <w:t xml:space="preserve">, </w:t>
      </w:r>
      <w:r>
        <w:rPr>
          <w:rFonts w:ascii="Arial" w:cs="Arial" w:eastAsia="Arial" w:hAnsi="Arial"/>
          <w:i/>
          <w:iCs/>
          <w:sz w:val="24"/>
          <w:szCs w:val="24"/>
        </w:rPr>
        <w:t xml:space="preserve">16</w:t>
      </w:r>
      <w:r>
        <w:rPr>
          <w:rFonts w:ascii="Arial" w:cs="Arial" w:eastAsia="Arial" w:hAnsi="Arial"/>
          <w:i/>
          <w:iCs/>
          <w:sz w:val="24"/>
          <w:szCs w:val="24"/>
        </w:rPr>
        <w:t xml:space="preserve"> в Министерстве юстиции КР.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12</w:t>
      </w:r>
    </w:p>
    <w:p>
      <w:pPr>
        <w:spacing w:after="400" w:before="400"/>
        <w:jc w:val="center"/>
      </w:pPr>
      <w:r>
        <w:rPr>
          <w:rFonts w:ascii="Arial" w:cs="Arial" w:eastAsia="Arial" w:hAnsi="Arial"/>
          <w:b/>
          <w:bCs/>
          <w:sz w:val="32"/>
          <w:szCs w:val="32"/>
        </w:rPr>
        <w:t xml:space="preserve">ЗАДАНИЕ
 открытого акционерного общества "Кыргызнефтегаз" на поставку природного газа и мазута для подготовки к осенне-зимнему периоду 2025/2026 года</w:t>
      </w:r>
    </w:p>
    <w:p>
      <w:pPr>
        <w:spacing w:after="60"/>
        <w:ind w:firstLine="567"/>
        <w:jc w:val="right"/>
      </w:pPr>
      <w:r>
        <w:rPr>
          <w:rFonts w:ascii="Arial" w:cs="Arial" w:eastAsia="Arial" w:hAnsi="Arial"/>
          <w:sz w:val="20"/>
          <w:szCs w:val="20"/>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1319"/>
        <w:gridCol w:w="570"/>
        <w:gridCol w:w="570"/>
        <w:gridCol w:w="570"/>
        <w:gridCol w:w="570"/>
        <w:gridCol w:w="570"/>
        <w:gridCol w:w="570"/>
        <w:gridCol w:w="570"/>
        <w:gridCol w:w="570"/>
        <w:gridCol w:w="570"/>
        <w:gridCol w:w="570"/>
        <w:gridCol w:w="570"/>
        <w:gridCol w:w="570"/>
      </w:tblGrid>
      <w:tr>
        <w:tc>
          <w:tcPr>
            <w:tcW w:type="dxa" w:w="20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1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Необходимо поставить во II-IV кв. 2025 г. и I кв. 2026 г.</w:t>
            </w:r>
          </w:p>
        </w:tc>
        <w:tc>
          <w:tcPr>
            <w:tcW w:type="dxa" w:w="513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2025 год</w:t>
            </w:r>
          </w:p>
        </w:tc>
        <w:tc>
          <w:tcPr>
            <w:tcW w:type="dxa" w:w="17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Апрель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Май</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Июнь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Июль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Август</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Сентябрь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Ноябрь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Декабрь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Январь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Февраль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Март</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Поставка топливных ресурсов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Природный газ, всего:</w:t>
            </w:r>
          </w:p>
          <w:p>
            <w:pPr>
              <w:jc w:val="left"/>
            </w:pPr>
            <w:r>
              <w:rPr>
                <w:rFonts w:ascii="Arial" w:cs="Arial" w:eastAsia="Arial" w:hAnsi="Arial"/>
                <w:sz w:val="20"/>
                <w:szCs w:val="20"/>
              </w:rPr>
              <w:t xml:space="preserve">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17,768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1,539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1,648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1,487</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1,37</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1,364</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1,523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1,383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1,219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1,618</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населения</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7,01</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0,375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0,375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0,77</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Мазут, всего:</w:t>
            </w:r>
          </w:p>
          <w:p>
            <w:pPr>
              <w:jc w:val="left"/>
            </w:pPr>
            <w:r>
              <w:rPr>
                <w:rFonts w:ascii="Arial" w:cs="Arial" w:eastAsia="Arial" w:hAnsi="Arial"/>
                <w:sz w:val="20"/>
                <w:szCs w:val="20"/>
              </w:rPr>
              <w:t xml:space="preserve">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48,810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6,750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6,180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8,048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7,152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4,389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3,926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2,368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0,997</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муниципальное предприятие "Теплоэлектроцентраль города Ош"</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23,0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муниципальное предприятие "Бишкек теплоэлектроцентраль"</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муниципальных теплоснабжающих предприятий</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22,810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0,750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2,180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4,048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4,152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4,389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3,926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2,368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0,997</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15</w:t>
      </w:r>
    </w:p>
    <w:p>
      <w:pPr>
        <w:spacing w:after="400" w:before="400"/>
        <w:jc w:val="center"/>
      </w:pPr>
      <w:r>
        <w:rPr>
          <w:rFonts w:ascii="Arial" w:cs="Arial" w:eastAsia="Arial" w:hAnsi="Arial"/>
          <w:b/>
          <w:bCs/>
          <w:sz w:val="32"/>
          <w:szCs w:val="32"/>
        </w:rPr>
        <w:t xml:space="preserve">ЗАДАНИЕ
 мэрии города Бишкек, ОАО "Электрические станции" и ОАО "НЭС Кыргызстана" по подготовке ТЭЦ и ГЭС, тепловых и электрических сетей к эксплуатации в осенне-зимний период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3719"/>
        <w:gridCol w:w="774"/>
        <w:gridCol w:w="693"/>
        <w:gridCol w:w="693"/>
        <w:gridCol w:w="693"/>
        <w:gridCol w:w="693"/>
        <w:gridCol w:w="693"/>
        <w:gridCol w:w="1848"/>
      </w:tblGrid>
      <w:tr>
        <w:tc>
          <w:tcPr>
            <w:tcW w:type="dxa" w:w="3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3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оборудования</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Ед. изм.</w:t>
            </w:r>
          </w:p>
        </w:tc>
        <w:tc>
          <w:tcPr>
            <w:tcW w:type="dxa" w:w="34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2025 год</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 квартал</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 квартал</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 квартал</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Ремонт основного оборудования МП "Бишкек ТЭЦ"</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Мэрия города Бишкек,
 МП "Бишкектеплосеть",
 МП "Бишкек ТЭЦ",
 МП "Бишкектеплоэнерго"</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Энергетические котлы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шт./т пара/ч</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5/1040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4/880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Турбоагрегаты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7/512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1/86</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3/241</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Энергоблоки № 3, 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688,2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249,8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185,5</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Ремонт оборудования МП "Бишкектеплосеть"</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тепловых сетей</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4507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1315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1884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885</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вышедшей из строя запорной арматуры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тепловой изоляции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442</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125,88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66,99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34,76</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10,60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Ремонт основного оборудования МП "Бишкектеплоэнерго"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котлов</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тепловых сетей</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4317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2317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и ремонт вышедшей из строя запорной арматуры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2024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тепловой изоляции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1.14</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"Электрические станции"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"Электрические станции"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Гидроагрегаты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2/270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1/150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1/120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43,58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19,16</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24,42</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"НЭС Кыргызстана"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"НЭС Кыргызстана"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ЛЭП 35 кВ и выше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1281,5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94,0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326,0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648,2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213,3</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трансформаторов 35 кВ и выше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шт./МВА</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4/50,5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3/44,2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КТП 6-10/0,4 кВ</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3485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1419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311</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3.4</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ЛЭП 6-10-0,4 кВ</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3076,73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1320,54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1253,69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190,0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425,85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30,55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184,04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171,40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39,86</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0"/>
          <w:szCs w:val="20"/>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ОАО</w:t>
      </w:r>
      <w:r>
        <w:rPr>
          <w:rFonts w:ascii="Arial" w:cs="Arial" w:eastAsia="Arial" w:hAnsi="Arial"/>
          <w:sz w:val="24"/>
          <w:szCs w:val="24"/>
        </w:rPr>
        <w:t xml:space="preserve">	</w:t>
      </w:r>
      <w:r>
        <w:rPr>
          <w:rFonts w:ascii="Arial" w:cs="Arial" w:eastAsia="Arial" w:hAnsi="Arial"/>
          <w:sz w:val="20"/>
          <w:szCs w:val="20"/>
        </w:rPr>
        <w:t xml:space="preserve">открытое акционерное общество</w:t>
      </w:r>
    </w:p>
    <w:p>
      <w:pPr>
        <w:tabs>
          <w:tab w:val="right" w:pos="10178"/>
        </w:tabs>
        <w:spacing w:after="120"/>
      </w:pPr>
      <w:r>
        <w:rPr>
          <w:rFonts w:ascii="Arial" w:cs="Arial" w:eastAsia="Arial" w:hAnsi="Arial"/>
          <w:b/>
          <w:bCs/>
          <w:sz w:val="20"/>
          <w:szCs w:val="20"/>
        </w:rPr>
        <w:t xml:space="preserve">ГЭС</w:t>
      </w:r>
      <w:r>
        <w:rPr>
          <w:rFonts w:ascii="Arial" w:cs="Arial" w:eastAsia="Arial" w:hAnsi="Arial"/>
          <w:sz w:val="24"/>
          <w:szCs w:val="24"/>
        </w:rPr>
        <w:t xml:space="preserve">	</w:t>
      </w:r>
      <w:r>
        <w:rPr>
          <w:rFonts w:ascii="Arial" w:cs="Arial" w:eastAsia="Arial" w:hAnsi="Arial"/>
          <w:sz w:val="20"/>
          <w:szCs w:val="20"/>
        </w:rPr>
        <w:t xml:space="preserve">гидроэлектростанция</w:t>
      </w:r>
    </w:p>
    <w:p>
      <w:pPr>
        <w:tabs>
          <w:tab w:val="right" w:pos="10178"/>
        </w:tabs>
        <w:spacing w:after="120"/>
      </w:pPr>
      <w:r>
        <w:rPr>
          <w:rFonts w:ascii="Arial" w:cs="Arial" w:eastAsia="Arial" w:hAnsi="Arial"/>
          <w:b/>
          <w:bCs/>
          <w:sz w:val="20"/>
          <w:szCs w:val="20"/>
        </w:rPr>
        <w:t xml:space="preserve">ТЭЦ</w:t>
      </w:r>
      <w:r>
        <w:rPr>
          <w:rFonts w:ascii="Arial" w:cs="Arial" w:eastAsia="Arial" w:hAnsi="Arial"/>
          <w:sz w:val="24"/>
          <w:szCs w:val="24"/>
        </w:rPr>
        <w:t xml:space="preserve">	</w:t>
      </w:r>
      <w:r>
        <w:rPr>
          <w:rFonts w:ascii="Arial" w:cs="Arial" w:eastAsia="Arial" w:hAnsi="Arial"/>
          <w:sz w:val="20"/>
          <w:szCs w:val="20"/>
        </w:rPr>
        <w:t xml:space="preserve">теплоэлектроцентраль</w:t>
      </w:r>
    </w:p>
    <w:p>
      <w:pPr>
        <w:tabs>
          <w:tab w:val="right" w:pos="10178"/>
        </w:tabs>
        <w:spacing w:after="120"/>
      </w:pPr>
      <w:r>
        <w:rPr>
          <w:rFonts w:ascii="Arial" w:cs="Arial" w:eastAsia="Arial" w:hAnsi="Arial"/>
          <w:b/>
          <w:bCs/>
          <w:sz w:val="20"/>
          <w:szCs w:val="20"/>
        </w:rPr>
        <w:t xml:space="preserve">НЭС Кыргызстана</w:t>
      </w:r>
      <w:r>
        <w:rPr>
          <w:rFonts w:ascii="Arial" w:cs="Arial" w:eastAsia="Arial" w:hAnsi="Arial"/>
          <w:sz w:val="24"/>
          <w:szCs w:val="24"/>
        </w:rPr>
        <w:t xml:space="preserve">	</w:t>
      </w:r>
      <w:r>
        <w:rPr>
          <w:rFonts w:ascii="Arial" w:cs="Arial" w:eastAsia="Arial" w:hAnsi="Arial"/>
          <w:sz w:val="20"/>
          <w:szCs w:val="20"/>
        </w:rPr>
        <w:t xml:space="preserve">Национальная электрическая сеть Кыргызстана</w:t>
      </w:r>
    </w:p>
    <w:p>
      <w:pPr>
        <w:tabs>
          <w:tab w:val="right" w:pos="10178"/>
        </w:tabs>
        <w:spacing w:after="120"/>
      </w:pPr>
      <w:r>
        <w:rPr>
          <w:rFonts w:ascii="Arial" w:cs="Arial" w:eastAsia="Arial" w:hAnsi="Arial"/>
          <w:b/>
          <w:bCs/>
          <w:sz w:val="20"/>
          <w:szCs w:val="20"/>
        </w:rPr>
        <w:t xml:space="preserve">КТП</w:t>
      </w:r>
      <w:r>
        <w:rPr>
          <w:rFonts w:ascii="Arial" w:cs="Arial" w:eastAsia="Arial" w:hAnsi="Arial"/>
          <w:sz w:val="24"/>
          <w:szCs w:val="24"/>
        </w:rPr>
        <w:t xml:space="preserve">	</w:t>
      </w:r>
      <w:r>
        <w:rPr>
          <w:rFonts w:ascii="Arial" w:cs="Arial" w:eastAsia="Arial" w:hAnsi="Arial"/>
          <w:sz w:val="20"/>
          <w:szCs w:val="20"/>
        </w:rPr>
        <w:t xml:space="preserve">комплектная трансформаторная подстанция</w:t>
      </w:r>
    </w:p>
    <w:p>
      <w:pPr>
        <w:tabs>
          <w:tab w:val="right" w:pos="10178"/>
        </w:tabs>
        <w:spacing w:after="120"/>
      </w:pPr>
      <w:r>
        <w:rPr>
          <w:rFonts w:ascii="Arial" w:cs="Arial" w:eastAsia="Arial" w:hAnsi="Arial"/>
          <w:b/>
          <w:bCs/>
          <w:sz w:val="20"/>
          <w:szCs w:val="20"/>
        </w:rPr>
        <w:t xml:space="preserve">МП</w:t>
      </w:r>
      <w:r>
        <w:rPr>
          <w:rFonts w:ascii="Arial" w:cs="Arial" w:eastAsia="Arial" w:hAnsi="Arial"/>
          <w:sz w:val="24"/>
          <w:szCs w:val="24"/>
        </w:rPr>
        <w:t xml:space="preserve">	</w:t>
      </w:r>
      <w:r>
        <w:rPr>
          <w:rFonts w:ascii="Arial" w:cs="Arial" w:eastAsia="Arial" w:hAnsi="Arial"/>
          <w:sz w:val="20"/>
          <w:szCs w:val="20"/>
        </w:rPr>
        <w:t xml:space="preserve">муниципальное предприятие</w:t>
      </w:r>
    </w:p>
    <w:p>
      <w:pPr>
        <w:tabs>
          <w:tab w:val="right" w:pos="10178"/>
        </w:tabs>
        <w:spacing w:after="120"/>
      </w:pPr>
      <w:r>
        <w:rPr>
          <w:rFonts w:ascii="Arial" w:cs="Arial" w:eastAsia="Arial" w:hAnsi="Arial"/>
          <w:b/>
          <w:bCs/>
          <w:sz w:val="20"/>
          <w:szCs w:val="20"/>
        </w:rPr>
        <w:t xml:space="preserve">ЛЭП</w:t>
      </w:r>
      <w:r>
        <w:rPr>
          <w:rFonts w:ascii="Arial" w:cs="Arial" w:eastAsia="Arial" w:hAnsi="Arial"/>
          <w:sz w:val="24"/>
          <w:szCs w:val="24"/>
        </w:rPr>
        <w:t xml:space="preserve">	</w:t>
      </w:r>
      <w:r>
        <w:rPr>
          <w:rFonts w:ascii="Arial" w:cs="Arial" w:eastAsia="Arial" w:hAnsi="Arial"/>
          <w:sz w:val="20"/>
          <w:szCs w:val="20"/>
        </w:rPr>
        <w:t xml:space="preserve">линия электропередач</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17</w:t>
      </w:r>
    </w:p>
    <w:p>
      <w:pPr>
        <w:spacing w:after="400" w:before="400"/>
        <w:jc w:val="center"/>
      </w:pPr>
      <w:r>
        <w:rPr>
          <w:rFonts w:ascii="Arial" w:cs="Arial" w:eastAsia="Arial" w:hAnsi="Arial"/>
          <w:b/>
          <w:bCs/>
          <w:sz w:val="32"/>
          <w:szCs w:val="32"/>
        </w:rPr>
        <w:t xml:space="preserve">ЗАДАНИЕ
 обществу с ограниченной ответственностью "Газпром Кыргызстан" по поставке природного газа населению для подготовки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5"/>
        <w:gridCol w:w="2249"/>
        <w:gridCol w:w="708"/>
        <w:gridCol w:w="708"/>
        <w:gridCol w:w="708"/>
        <w:gridCol w:w="708"/>
        <w:gridCol w:w="708"/>
        <w:gridCol w:w="708"/>
        <w:gridCol w:w="708"/>
        <w:gridCol w:w="708"/>
        <w:gridCol w:w="708"/>
      </w:tblGrid>
      <w:tr>
        <w:tc>
          <w:tcPr>
            <w:tcW w:type="dxa" w:w="15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22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Необходимо поставить во II-IV кв. 2025 г. и I кв. 2026 г.</w:t>
            </w:r>
          </w:p>
        </w:tc>
        <w:tc>
          <w:tcPr>
            <w:tcW w:type="dxa" w:w="637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График поставки (природный газ, млн. м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 квартал 2025 года</w:t>
            </w:r>
          </w:p>
        </w:tc>
        <w:tc>
          <w:tcPr>
            <w:tcW w:type="dxa" w:w="70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 квартал 2025 года</w:t>
            </w:r>
          </w:p>
        </w:tc>
        <w:tc>
          <w:tcPr>
            <w:tcW w:type="dxa" w:w="70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 т.ч. сентябрь</w:t>
            </w:r>
          </w:p>
        </w:tc>
        <w:tc>
          <w:tcPr>
            <w:tcW w:type="dxa" w:w="212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 квартал 2025 года</w:t>
            </w:r>
          </w:p>
        </w:tc>
        <w:tc>
          <w:tcPr>
            <w:tcW w:type="dxa" w:w="212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 квартал 2026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Ноябрь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Декабрь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Январь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Февраль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Природный газ, в т.ч.:</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589,6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76,0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72,9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40,7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80,5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104,6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92,3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70,5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52,1</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Север</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532,1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69,5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92,7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81,4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63,8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47,6</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Юг</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для населения:</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201,8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15,4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11,2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26,5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44,2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42,8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31,5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20,7</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Север</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164,4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17,6</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Юг</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18</w:t>
      </w:r>
    </w:p>
    <w:p>
      <w:pPr>
        <w:spacing w:after="400" w:before="400"/>
        <w:jc w:val="center"/>
      </w:pPr>
      <w:r>
        <w:rPr>
          <w:rFonts w:ascii="Arial" w:cs="Arial" w:eastAsia="Arial" w:hAnsi="Arial"/>
          <w:b/>
          <w:bCs/>
          <w:sz w:val="32"/>
          <w:szCs w:val="32"/>
        </w:rPr>
        <w:t xml:space="preserve">ЗАДАНИЕ
 обществу с ограниченной ответственностью "Газпром Кыргызстан" по поставке природного газа по объектам муниципальных теплоснабжающих предприятий для подготовки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2536"/>
        <w:gridCol w:w="719"/>
        <w:gridCol w:w="719"/>
        <w:gridCol w:w="719"/>
        <w:gridCol w:w="719"/>
        <w:gridCol w:w="719"/>
        <w:gridCol w:w="719"/>
        <w:gridCol w:w="719"/>
        <w:gridCol w:w="719"/>
        <w:gridCol w:w="719"/>
      </w:tblGrid>
      <w:tr>
        <w:tc>
          <w:tcPr>
            <w:tcW w:type="dxa" w:w="11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25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Необходимо поставить во II-IV кв. 2025 года и I кв. 2026 года</w:t>
            </w:r>
          </w:p>
          <w:p>
            <w:pPr>
              <w:jc w:val="center"/>
            </w:pPr>
            <w:r>
              <w:rPr>
                <w:rFonts w:ascii="Arial" w:cs="Arial" w:eastAsia="Arial" w:hAnsi="Arial"/>
                <w:b/>
                <w:bCs/>
                <w:sz w:val="20"/>
                <w:szCs w:val="20"/>
              </w:rPr>
              <w:t xml:space="preserve">ВСЕГО</w:t>
            </w:r>
          </w:p>
        </w:tc>
        <w:tc>
          <w:tcPr>
            <w:tcW w:type="dxa" w:w="647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График поставки (природный газ, млн. 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 квартал 2025 года</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 квартал 2025 года</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 том числе сентябрь</w:t>
            </w:r>
          </w:p>
        </w:tc>
        <w:tc>
          <w:tcPr>
            <w:tcW w:type="dxa" w:w="215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 квартал 2025 года</w:t>
            </w:r>
          </w:p>
        </w:tc>
        <w:tc>
          <w:tcPr>
            <w:tcW w:type="dxa" w:w="215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 квартал 2026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Ноябрь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Декабрь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Январь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Февраль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Природный газ</w:t>
            </w:r>
          </w:p>
          <w:p>
            <w:pPr>
              <w:jc w:val="left"/>
            </w:pPr>
            <w:r>
              <w:rPr>
                <w:rFonts w:ascii="Arial" w:cs="Arial" w:eastAsia="Arial" w:hAnsi="Arial"/>
                <w:b/>
                <w:bCs/>
                <w:sz w:val="20"/>
                <w:szCs w:val="20"/>
              </w:rPr>
              <w:t xml:space="preserve">всего:</w:t>
            </w:r>
          </w:p>
        </w:tc>
        <w:tc>
          <w:tcPr>
            <w:tcW w:type="dxa" w:w="2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26,2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19</w:t>
      </w:r>
    </w:p>
    <w:p>
      <w:pPr>
        <w:spacing w:after="400" w:before="400"/>
        <w:jc w:val="center"/>
      </w:pPr>
      <w:r>
        <w:rPr>
          <w:rFonts w:ascii="Arial" w:cs="Arial" w:eastAsia="Arial" w:hAnsi="Arial"/>
          <w:b/>
          <w:bCs/>
          <w:sz w:val="32"/>
          <w:szCs w:val="32"/>
        </w:rPr>
        <w:t xml:space="preserve">ЗАДАНИЕ
 обществу с ограниченной ответственностью "Газпром Кыргызстан" по производственно-техническим мероприятиям для подготовки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6197"/>
        <w:gridCol w:w="621"/>
        <w:gridCol w:w="1378"/>
        <w:gridCol w:w="429"/>
        <w:gridCol w:w="429"/>
        <w:gridCol w:w="429"/>
        <w:gridCol w:w="429"/>
      </w:tblGrid>
      <w:tr>
        <w:tc>
          <w:tcPr>
            <w:tcW w:type="dxa" w:w="2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6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План мероприятий, наименование работ</w:t>
            </w:r>
          </w:p>
        </w:tc>
        <w:tc>
          <w:tcPr>
            <w:tcW w:type="dxa" w:w="6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Ед. изм.</w:t>
            </w:r>
          </w:p>
        </w:tc>
        <w:tc>
          <w:tcPr>
            <w:tcW w:type="dxa" w:w="13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Общий объем работ</w:t>
            </w:r>
          </w:p>
        </w:tc>
        <w:tc>
          <w:tcPr>
            <w:tcW w:type="dxa" w:w="17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 распределительным сетям общества с ограниченной ответственностью "Газпром Кыргызстан", в т.ч.:</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аварийных и малонадежных участков газопроводов</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п.м</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2600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техническое обслуживание, текущий ремонт, настройка оборудования ГРС (АГРС)</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ед.</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текущий ремонт ГРП, ШГРП</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ед.</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1477</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344</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502</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501</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поверка бытовых счетчиков газа согласно плану-графику</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ед.</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14561</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2 069</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3 036</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3710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5746</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0"/>
          <w:szCs w:val="20"/>
        </w:rPr>
        <w:t xml:space="preserve">Список сращений: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АГРС</w:t>
      </w:r>
      <w:r>
        <w:rPr>
          <w:rFonts w:ascii="Arial" w:cs="Arial" w:eastAsia="Arial" w:hAnsi="Arial"/>
          <w:sz w:val="24"/>
          <w:szCs w:val="24"/>
        </w:rPr>
        <w:t xml:space="preserve">	</w:t>
      </w:r>
      <w:r>
        <w:rPr>
          <w:rFonts w:ascii="Arial" w:cs="Arial" w:eastAsia="Arial" w:hAnsi="Arial"/>
          <w:sz w:val="20"/>
          <w:szCs w:val="20"/>
        </w:rPr>
        <w:t xml:space="preserve">автоматическая газорегуляторная станция</w:t>
      </w:r>
    </w:p>
    <w:p>
      <w:pPr>
        <w:tabs>
          <w:tab w:val="right" w:pos="10178"/>
        </w:tabs>
        <w:spacing w:after="120"/>
      </w:pPr>
      <w:r>
        <w:rPr>
          <w:rFonts w:ascii="Arial" w:cs="Arial" w:eastAsia="Arial" w:hAnsi="Arial"/>
          <w:b/>
          <w:bCs/>
          <w:sz w:val="20"/>
          <w:szCs w:val="20"/>
        </w:rPr>
        <w:t xml:space="preserve">ГРП</w:t>
      </w:r>
      <w:r>
        <w:rPr>
          <w:rFonts w:ascii="Arial" w:cs="Arial" w:eastAsia="Arial" w:hAnsi="Arial"/>
          <w:sz w:val="24"/>
          <w:szCs w:val="24"/>
        </w:rPr>
        <w:t xml:space="preserve">	</w:t>
      </w:r>
      <w:r>
        <w:rPr>
          <w:rFonts w:ascii="Arial" w:cs="Arial" w:eastAsia="Arial" w:hAnsi="Arial"/>
          <w:sz w:val="20"/>
          <w:szCs w:val="20"/>
        </w:rPr>
        <w:t xml:space="preserve">газорегуляторный пункт</w:t>
      </w:r>
    </w:p>
    <w:p>
      <w:pPr>
        <w:tabs>
          <w:tab w:val="right" w:pos="10178"/>
        </w:tabs>
        <w:spacing w:after="120"/>
      </w:pPr>
      <w:r>
        <w:rPr>
          <w:rFonts w:ascii="Arial" w:cs="Arial" w:eastAsia="Arial" w:hAnsi="Arial"/>
          <w:b/>
          <w:bCs/>
          <w:sz w:val="20"/>
          <w:szCs w:val="20"/>
        </w:rPr>
        <w:t xml:space="preserve">ГРС</w:t>
      </w:r>
      <w:r>
        <w:rPr>
          <w:rFonts w:ascii="Arial" w:cs="Arial" w:eastAsia="Arial" w:hAnsi="Arial"/>
          <w:sz w:val="24"/>
          <w:szCs w:val="24"/>
        </w:rPr>
        <w:t xml:space="preserve">	</w:t>
      </w:r>
      <w:r>
        <w:rPr>
          <w:rFonts w:ascii="Arial" w:cs="Arial" w:eastAsia="Arial" w:hAnsi="Arial"/>
          <w:sz w:val="20"/>
          <w:szCs w:val="20"/>
        </w:rPr>
        <w:t xml:space="preserve">газорегуляторная станция</w:t>
      </w:r>
    </w:p>
    <w:p>
      <w:pPr>
        <w:tabs>
          <w:tab w:val="right" w:pos="10178"/>
        </w:tabs>
        <w:spacing w:after="120"/>
      </w:pPr>
      <w:r>
        <w:rPr>
          <w:rFonts w:ascii="Arial" w:cs="Arial" w:eastAsia="Arial" w:hAnsi="Arial"/>
          <w:b/>
          <w:bCs/>
          <w:sz w:val="20"/>
          <w:szCs w:val="20"/>
        </w:rPr>
        <w:t xml:space="preserve">ШГРП</w:t>
      </w:r>
      <w:r>
        <w:rPr>
          <w:rFonts w:ascii="Arial" w:cs="Arial" w:eastAsia="Arial" w:hAnsi="Arial"/>
          <w:sz w:val="24"/>
          <w:szCs w:val="24"/>
        </w:rPr>
        <w:t xml:space="preserve">	</w:t>
      </w:r>
      <w:r>
        <w:rPr>
          <w:rFonts w:ascii="Arial" w:cs="Arial" w:eastAsia="Arial" w:hAnsi="Arial"/>
          <w:sz w:val="20"/>
          <w:szCs w:val="20"/>
        </w:rPr>
        <w:t xml:space="preserve">шкафной газорегуляторный пункт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20</w:t>
      </w:r>
    </w:p>
    <w:p>
      <w:pPr>
        <w:spacing w:after="400" w:before="400"/>
        <w:jc w:val="center"/>
      </w:pPr>
      <w:r>
        <w:rPr>
          <w:rFonts w:ascii="Arial" w:cs="Arial" w:eastAsia="Arial" w:hAnsi="Arial"/>
          <w:b/>
          <w:bCs/>
          <w:sz w:val="32"/>
          <w:szCs w:val="32"/>
        </w:rPr>
        <w:t xml:space="preserve">ЗАДАНИЕ
 по объектам муниципальных теплоснабжающих предприятий по подготовке отопительных котельных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4"/>
        <w:gridCol w:w="1195"/>
        <w:gridCol w:w="782"/>
        <w:gridCol w:w="782"/>
        <w:gridCol w:w="782"/>
        <w:gridCol w:w="782"/>
      </w:tblGrid>
      <w:tr>
        <w:tc>
          <w:tcPr>
            <w:tcW w:type="dxa" w:w="58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области</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 котельных</w:t>
            </w:r>
          </w:p>
        </w:tc>
        <w:tc>
          <w:tcPr>
            <w:tcW w:type="dxa" w:w="31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газе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мазуте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угле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электроэнергии</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Муниципальное предприятие "Бишкектеплоэнерго" при мэрии города Бишкек</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102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61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По объектам теплоснабжающих предприятий</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165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29</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Таласская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Чуйская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Джалал-Абадская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Нарынская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Иссык-Кульская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Ошская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Баткенская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Ошское муниципальное предприятие "Теплоснабжение" при мэрии города Ош</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111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21</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Всего по республике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378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198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70</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s6_01f8xfm_ay35znrt">
      <w:r>
        <w:rPr>
          <w:rFonts w:ascii="Arial" w:cs="Arial" w:eastAsia="Arial" w:hAnsi="Arial"/>
          <w:color w:val="132D3F"/>
          <w:sz w:val="16"/>
          <w:szCs w:val="16"/>
          <w:u w:val="single"/>
        </w:rPr>
        <w:t xml:space="preserve">dalil.kg/document/230029332</w:t>
      </w:r>
    </w:hyperlink>
  </w:p>
  <w:p>
    <w:pPr>
      <w:spacing w:after="0" w:before="40"/>
      <w:jc w:val="center"/>
    </w:pPr>
    <w:hyperlink w:history="1" r:id="rIdwtb00fuacompwmao6wq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ftaz5ugtwjxbze7x6u" Type="http://schemas.openxmlformats.org/officeDocument/2006/relationships/hyperlink" Target="https://dalil.kg/document/230047100" TargetMode="External"/><Relationship Id="rId3upc79939cy747x1phdbi" Type="http://schemas.openxmlformats.org/officeDocument/2006/relationships/hyperlink" Target="https://dalil.kg/document/230041314" TargetMode="External"/><Relationship Id="rIdryay29ytuu52cttoujxaa" Type="http://schemas.openxmlformats.org/officeDocument/2006/relationships/hyperlink" Target="https://dalil.kg/document/112301#st_13" TargetMode="External"/><Relationship Id="rId_89vmc0seq5pepac95l_z" Type="http://schemas.openxmlformats.org/officeDocument/2006/relationships/hyperlink" Target="https://dalil.kg/document/112301#st_17" TargetMode="External"/><Relationship Id="rIdcttsi1cvqeckunjt9hthf" Type="http://schemas.openxmlformats.org/officeDocument/2006/relationships/hyperlink" Target="https://dalil.kg/document/230029332#pr_1" TargetMode="External"/><Relationship Id="rIdrr5ihozat1xlduvln9yu-" Type="http://schemas.openxmlformats.org/officeDocument/2006/relationships/hyperlink" Target="https://dalil.kg/document/230029332#pr_20" TargetMode="External"/><Relationship Id="rIdigeory4hl3jmg4v8lixip" Type="http://schemas.openxmlformats.org/officeDocument/2006/relationships/hyperlink" Target="https://dalil.kg/document/230021268" TargetMode="External"/><Relationship Id="rId-spnz6kustwgkfncv4wug" Type="http://schemas.openxmlformats.org/officeDocument/2006/relationships/hyperlink" Target="https://dalil.kg/document/230041314" TargetMode="External"/><Relationship Id="rIde45gkgyrtkfwdqxqub7p4" Type="http://schemas.openxmlformats.org/officeDocument/2006/relationships/hyperlink" Target="https://dalil.kg/document/230029332#pr_1" TargetMode="External"/><Relationship Id="rId_fskxirdbjnfp2medy7lp" Type="http://schemas.openxmlformats.org/officeDocument/2006/relationships/hyperlink" Target="https://dalil.kg/document/230029332#pr_20" TargetMode="External"/><Relationship Id="rIdzq-51pz_o5fzapoxtmdzu" Type="http://schemas.openxmlformats.org/officeDocument/2006/relationships/hyperlink" Target="https://dalil.kg/document/230007855" TargetMode="External"/><Relationship Id="rId_oxjnlcex8s9zjfhw6qxx" Type="http://schemas.openxmlformats.org/officeDocument/2006/relationships/hyperlink" Target="https://dalil.kg/document/230010371" TargetMode="External"/><Relationship Id="rId02jdm1_cbxrusgiqvdxrj" Type="http://schemas.openxmlformats.org/officeDocument/2006/relationships/hyperlink" Target="https://dalil.kg/document/230019956" TargetMode="External"/><Relationship Id="rIdpqpdkoyol4zcpcrtllx1q" Type="http://schemas.openxmlformats.org/officeDocument/2006/relationships/hyperlink" Target="https://dalil.kg/document/23000785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s6_01f8xfm_ay35znrt" Type="http://schemas.openxmlformats.org/officeDocument/2006/relationships/hyperlink" Target="https://dalil.kg/document/230029332" TargetMode="External"/><Relationship Id="rIdwtb00fuacompwmao6wq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2026-09-25T21:11:54.133Z</dcterms:created>
  <dcterms:modified xsi:type="dcterms:W3CDTF">2026-09-25T21:11:54.133Z</dcterms:modified>
</cp:coreProperties>
</file>

<file path=docProps/custom.xml><?xml version="1.0" encoding="utf-8"?>
<Properties xmlns="http://schemas.openxmlformats.org/officeDocument/2006/custom-properties" xmlns:vt="http://schemas.openxmlformats.org/officeDocument/2006/docPropsVTypes"/>
</file>