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июля 2025 года № 413</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изменений </w:t>
      </w:r>
      <w:r>
        <w:rPr>
          <w:rFonts w:ascii="Arial" w:cs="Arial" w:eastAsia="Arial" w:hAnsi="Arial"/>
          <w:b/>
          <w:bCs/>
          <w:sz w:val="28"/>
          <w:szCs w:val="28"/>
        </w:rPr>
        <w:t xml:space="preserve">в постановление Кабинета Министров Кыргызской Республики «Об утверждении Инструкции о порядке начисления и уплаты страховых взносов по государственному социальному страхованию» от 3 декабря 2024 года № 729</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норм </w:t>
      </w:r>
      <w:hyperlink w:history="1" r:id="rIdtt3o5ocpqboopszu5mis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r>
        <w:rPr>
          <w:rFonts w:ascii="Arial" w:cs="Arial" w:eastAsia="Arial" w:hAnsi="Arial"/>
          <w:sz w:val="24"/>
          <w:szCs w:val="24"/>
        </w:rPr>
        <w:t xml:space="preserve"> в соответствии </w:t>
      </w:r>
      <w:r>
        <w:rPr>
          <w:rFonts w:ascii="Arial" w:cs="Arial" w:eastAsia="Arial" w:hAnsi="Arial"/>
          <w:sz w:val="24"/>
          <w:szCs w:val="24"/>
        </w:rPr>
        <w:t xml:space="preserve">cо статьями </w:t>
      </w:r>
      <w:hyperlink w:history="1" r:id="rIdrtk0tj4uvq7qhwtj9zpk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7byoqrhurhuneh4ebspp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Внести в </w:t>
      </w:r>
      <w:hyperlink w:history="1" r:id="rIdi46twsvlr93fmxzwdcp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Инструкции о порядке начисления и уплаты страховых взносов по государственному социальному страхованию» от 3 декабря 2024 года № 729 следующие изменения:</w:t>
      </w:r>
    </w:p>
    <w:p>
      <w:pPr>
        <w:spacing w:after="120"/>
        <w:ind w:firstLine="708"/>
        <w:jc w:val="both"/>
      </w:pPr>
      <w:r>
        <w:rPr>
          <w:rFonts w:ascii="Arial" w:cs="Arial" w:eastAsia="Arial" w:hAnsi="Arial"/>
          <w:sz w:val="24"/>
          <w:szCs w:val="24"/>
        </w:rPr>
        <w:t xml:space="preserve">в </w:t>
      </w:r>
      <w:hyperlink w:history="1" r:id="rIdlf6tb0979ap4khgnqlah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вышеуказанным постановлением:</w:t>
      </w:r>
    </w:p>
    <w:p>
      <w:pPr>
        <w:spacing w:after="120"/>
        <w:ind w:firstLine="708"/>
        <w:jc w:val="both"/>
      </w:pPr>
      <w:r>
        <w:rPr>
          <w:rFonts w:ascii="Arial" w:cs="Arial" w:eastAsia="Arial" w:hAnsi="Arial"/>
          <w:sz w:val="24"/>
          <w:szCs w:val="24"/>
        </w:rPr>
        <w:t xml:space="preserve">1) в пункте 5:</w:t>
      </w:r>
    </w:p>
    <w:p>
      <w:pPr>
        <w:spacing w:after="120"/>
        <w:ind w:firstLine="708"/>
        <w:jc w:val="both"/>
      </w:pPr>
      <w:r>
        <w:rPr>
          <w:rFonts w:ascii="Arial" w:cs="Arial" w:eastAsia="Arial" w:hAnsi="Arial"/>
          <w:sz w:val="24"/>
          <w:szCs w:val="24"/>
        </w:rPr>
        <w:t xml:space="preserve">– абзац четвертый подпункта 1 изложить в следующей редакции:</w:t>
      </w:r>
    </w:p>
    <w:p>
      <w:pPr>
        <w:spacing w:after="120"/>
        <w:ind w:firstLine="708"/>
        <w:jc w:val="both"/>
      </w:pPr>
      <w:r>
        <w:rPr>
          <w:rFonts w:ascii="Arial" w:cs="Arial" w:eastAsia="Arial" w:hAnsi="Arial"/>
          <w:sz w:val="24"/>
          <w:szCs w:val="24"/>
        </w:rPr>
        <w:t xml:space="preserve">«– горнодобывающих предприятий, осуществляющих разработку участков недр общегосударственного значения и/или владеющих правом пользования недрами общегосударственного значения с целью разработки полезных ископаемых;»;</w:t>
      </w:r>
    </w:p>
    <w:p>
      <w:pPr>
        <w:spacing w:after="120"/>
        <w:ind w:firstLine="708"/>
        <w:jc w:val="both"/>
      </w:pPr>
      <w:r>
        <w:rPr>
          <w:rFonts w:ascii="Arial" w:cs="Arial" w:eastAsia="Arial" w:hAnsi="Arial"/>
          <w:sz w:val="24"/>
          <w:szCs w:val="24"/>
        </w:rPr>
        <w:t xml:space="preserve">– подпункт 2 дополнить абзацем одиннадцатым следующего содержания:</w:t>
      </w:r>
    </w:p>
    <w:p>
      <w:pPr>
        <w:spacing w:after="120"/>
        <w:ind w:firstLine="708"/>
        <w:jc w:val="both"/>
      </w:pPr>
      <w:r>
        <w:rPr>
          <w:rFonts w:ascii="Arial" w:cs="Arial" w:eastAsia="Arial" w:hAnsi="Arial"/>
          <w:sz w:val="24"/>
          <w:szCs w:val="24"/>
        </w:rPr>
        <w:t xml:space="preserve">«– товарищества собственников жилья.»;</w:t>
      </w:r>
    </w:p>
    <w:p>
      <w:pPr>
        <w:spacing w:after="120"/>
        <w:ind w:firstLine="708"/>
        <w:jc w:val="both"/>
      </w:pPr>
      <w:r>
        <w:rPr>
          <w:rFonts w:ascii="Arial" w:cs="Arial" w:eastAsia="Arial" w:hAnsi="Arial"/>
          <w:sz w:val="24"/>
          <w:szCs w:val="24"/>
        </w:rPr>
        <w:t xml:space="preserve">– дополнить подпунктом 3 следующего содержания:</w:t>
      </w:r>
    </w:p>
    <w:p>
      <w:pPr>
        <w:spacing w:after="120"/>
        <w:ind w:firstLine="708"/>
        <w:jc w:val="both"/>
      </w:pPr>
      <w:r>
        <w:rPr>
          <w:rFonts w:ascii="Arial" w:cs="Arial" w:eastAsia="Arial" w:hAnsi="Arial"/>
          <w:sz w:val="24"/>
          <w:szCs w:val="24"/>
        </w:rPr>
        <w:t xml:space="preserve">«3) исчисление страховых взносов для юридических лиц, осуществляющих производственную деятельность в швейной и текстильной промышленности, с численностью наемных работников м</w:t>
      </w:r>
      <w:r>
        <w:rPr>
          <w:rFonts w:ascii="Arial" w:cs="Arial" w:eastAsia="Arial" w:hAnsi="Arial"/>
          <w:sz w:val="24"/>
          <w:szCs w:val="24"/>
        </w:rPr>
        <w:t xml:space="preserve">енее</w:t>
      </w:r>
      <w:r>
        <w:rPr>
          <w:rFonts w:ascii="Arial" w:cs="Arial" w:eastAsia="Arial" w:hAnsi="Arial"/>
          <w:sz w:val="24"/>
          <w:szCs w:val="24"/>
        </w:rPr>
        <w:t xml:space="preserve"> 50 человек, а также работающих в них физических лиц осуществляется в соответствии с подпунктом 2 настоящего пункта.»;</w:t>
      </w:r>
    </w:p>
    <w:p>
      <w:pPr>
        <w:spacing w:after="120"/>
        <w:ind w:firstLine="708"/>
        <w:jc w:val="both"/>
      </w:pPr>
      <w:r>
        <w:rPr>
          <w:rFonts w:ascii="Arial" w:cs="Arial" w:eastAsia="Arial" w:hAnsi="Arial"/>
          <w:sz w:val="24"/>
          <w:szCs w:val="24"/>
        </w:rPr>
        <w:t xml:space="preserve">2) дополнить пунктами 5</w:t>
      </w:r>
      <w:r>
        <w:rPr>
          <w:rFonts w:ascii="Arial" w:cs="Arial" w:eastAsia="Arial" w:hAnsi="Arial"/>
          <w:sz w:val="24"/>
          <w:szCs w:val="24"/>
        </w:rPr>
        <w:t xml:space="preserve">1</w:t>
      </w: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следующего содержания:</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Исчисление страховых взносов для юридических лиц, осуществляющих производственную деятельность в швейной и текстильной промышленности, с численностью наемных работников 50 человек и более, а также работающих в них физических лиц до 
 1 января 2027 года производится ежемесячно от 40 процентов размера среднемесячной заработной платы, сложившейся в районе или городе за предыдущий календарный год.</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Исчисление страховых взносов индивидуальными предпринимателями, занятыми в текстильном и швейном производствах, уплачивающими налоги по общему налоговому режиму или на основе единого налога, производится за нанятых работников ежемесячно от 40 процентов размера среднемесячной заработной платы, сложившейся в районе или городе за предыдущий календарный год.</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Исчисление страховых взносов для работников резидентов Парка высоких технологий и его дирекции и Парка креативных индустрий и его дирекции, резидентов Парка высоких технологий и Парка креативных индустрий – физических лиц (кроме работников, осуществляющих обслуживание и охрану зданий, помещений, земельных участков) производится ежемесячно от размера среднемесячной заработной платы.</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Исчисление страховых взносов для сельскохозяйственных кооперативов за работников, выбравших уплату страховых взносов от фонда оплаты труда, начисление, взимание и внесение страховых взносов, установленных для работника, производятся ежемесячно работодателем от фактической заработной платы работника.</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Исчисление страховых взносов для юридических лиц, в том числе иностранных, независимо от организационно-правовых форм и форм собственности, их обособленных подразделений (филиалы и представительства), индивидуальных предпринимателей, предоставляющих услуги подключения субъектов к информационной системе, применяемой для заказа перевозки пассажиров и грузов, услуг службы такси и курьерской услуги, с 1 сентября 2025 года производится ежемесячно в пользу этого физического лица от его дохода, полученного от осуществления деятельности с использованием информационной системы, применяемой для заказа перевозки пассажиров и грузов, услуг службы такси и курьерской услуги.»;</w:t>
      </w:r>
    </w:p>
    <w:p>
      <w:pPr>
        <w:spacing w:after="120"/>
        <w:ind w:firstLine="708"/>
        <w:jc w:val="both"/>
      </w:pPr>
      <w:r>
        <w:rPr>
          <w:rFonts w:ascii="Arial" w:cs="Arial" w:eastAsia="Arial" w:hAnsi="Arial"/>
          <w:sz w:val="24"/>
          <w:szCs w:val="24"/>
        </w:rPr>
        <w:t xml:space="preserve">3) в абзаце первом пункта 8 слова «дней равно количеству календарных рабочих дней» заменить словами «дней равно или больше количества календарных рабочих дней»;</w:t>
      </w:r>
    </w:p>
    <w:p>
      <w:pPr>
        <w:spacing w:after="120"/>
        <w:ind w:firstLine="709"/>
        <w:jc w:val="both"/>
      </w:pPr>
      <w:r>
        <w:rPr>
          <w:rFonts w:ascii="Arial" w:cs="Arial" w:eastAsia="Arial" w:hAnsi="Arial"/>
          <w:sz w:val="24"/>
          <w:szCs w:val="24"/>
        </w:rPr>
        <w:t xml:space="preserve">4) в пункте 30 слова «в пункте 32» заменить словами «в пункте 29»;</w:t>
      </w:r>
    </w:p>
    <w:p>
      <w:pPr>
        <w:spacing w:after="120"/>
        <w:ind w:firstLine="708"/>
        <w:jc w:val="both"/>
      </w:pPr>
      <w:r>
        <w:rPr>
          <w:rFonts w:ascii="Arial" w:cs="Arial" w:eastAsia="Arial" w:hAnsi="Arial"/>
          <w:sz w:val="24"/>
          <w:szCs w:val="24"/>
        </w:rPr>
        <w:t xml:space="preserve">5) пункты 31 и 32 изложить в следующей редакции:</w:t>
      </w:r>
    </w:p>
    <w:p>
      <w:pPr>
        <w:spacing w:after="120"/>
        <w:ind w:firstLine="709"/>
        <w:jc w:val="both"/>
      </w:pPr>
      <w:r>
        <w:rPr>
          <w:rFonts w:ascii="Arial" w:cs="Arial" w:eastAsia="Arial" w:hAnsi="Arial"/>
          <w:sz w:val="24"/>
          <w:szCs w:val="24"/>
        </w:rPr>
        <w:t xml:space="preserve">«31. Страховые взносы крестьянских (фермерских) хозяйств без образования юридического лица до июня 2025 года рассчитываются и вносятся на счет страховщика главами хозяйств за себя и его членов физическими лицами, владеющими земельной долей и/или участком или его частью, но не являющимися членами крестьянских (фермерских) хозяйств, рассчитываются и вносятся на счет страховщика за себя.</w:t>
      </w:r>
    </w:p>
    <w:p>
      <w:pPr>
        <w:spacing w:after="120"/>
        <w:ind w:firstLine="709"/>
        <w:jc w:val="both"/>
      </w:pPr>
      <w:r>
        <w:rPr>
          <w:rFonts w:ascii="Arial" w:cs="Arial" w:eastAsia="Arial" w:hAnsi="Arial"/>
          <w:sz w:val="24"/>
          <w:szCs w:val="24"/>
        </w:rPr>
        <w:t xml:space="preserve">С июня 2025 года по земельному участку, находящемуся в общей собственности или пользовании нескольких лиц, плательщиком страховых взносов является каждое из этих лиц в долях, установленных правоудостоверяющим документом.</w:t>
      </w:r>
    </w:p>
    <w:p>
      <w:pPr>
        <w:spacing w:after="120"/>
        <w:ind w:firstLine="709"/>
        <w:jc w:val="both"/>
      </w:pPr>
      <w:r>
        <w:rPr>
          <w:rFonts w:ascii="Arial" w:cs="Arial" w:eastAsia="Arial" w:hAnsi="Arial"/>
          <w:sz w:val="24"/>
          <w:szCs w:val="24"/>
        </w:rPr>
        <w:t xml:space="preserve">32. Пример расчета страховых взносов:</w:t>
      </w:r>
    </w:p>
    <w:p>
      <w:pPr>
        <w:spacing w:after="120"/>
        <w:ind w:firstLine="709"/>
        <w:jc w:val="both"/>
      </w:pPr>
      <w:r>
        <w:rPr>
          <w:rFonts w:ascii="Arial" w:cs="Arial" w:eastAsia="Arial" w:hAnsi="Arial"/>
          <w:sz w:val="24"/>
          <w:szCs w:val="24"/>
        </w:rPr>
        <w:t xml:space="preserve">1) уплата страховых взносов с июня 2025 года:</w:t>
      </w:r>
    </w:p>
    <w:p>
      <w:pPr>
        <w:spacing w:after="120"/>
        <w:ind w:firstLine="709"/>
        <w:jc w:val="both"/>
      </w:pPr>
      <w:r>
        <w:rPr>
          <w:rFonts w:ascii="Arial" w:cs="Arial" w:eastAsia="Arial" w:hAnsi="Arial"/>
          <w:sz w:val="24"/>
          <w:szCs w:val="24"/>
        </w:rPr>
        <w:t xml:space="preserve">– в случае, если глава или член крестьянского (фермерского) хозяйства, или физическое лицо владеет несколькими участками, зарегистрированными в одном районе, и на каждый участок имеется правоустанавливающий документ на право частной собственности на эти земельные участки (доли), то при начислении и уплате определяется общая площадь путем их суммирования. При этом для физических лиц – арендаторов земель из земель Государственного фонда сельскохозяйственных угодий (за исключением пастбищ), участков лесного фонда или пользователей пастбищ необходимо обратиться в территориальное подразделение уполномоченного государственного органа;</w:t>
      </w:r>
    </w:p>
    <w:p>
      <w:pPr>
        <w:spacing w:after="120"/>
        <w:ind w:firstLine="709"/>
        <w:jc w:val="both"/>
      </w:pPr>
      <w:r>
        <w:rPr>
          <w:rFonts w:ascii="Arial" w:cs="Arial" w:eastAsia="Arial" w:hAnsi="Arial"/>
          <w:sz w:val="24"/>
          <w:szCs w:val="24"/>
        </w:rPr>
        <w:t xml:space="preserve"> – в случае, если глава или член крестьянского (фермерского) хозяйства, или физическое лицо владеет несколькими участками, зарегистрированными в разных районах, и на каждый участок имеется правоустанавливающий документ на право частной собственности на эти земельные участки (доли), то начисление и уплата производятся отдельно по каждому участку в каждом районе.</w:t>
      </w:r>
    </w:p>
    <w:p>
      <w:pPr>
        <w:spacing w:after="120"/>
        <w:ind w:firstLine="709"/>
        <w:jc w:val="both"/>
      </w:pPr>
      <w:r>
        <w:rPr>
          <w:rFonts w:ascii="Arial" w:cs="Arial" w:eastAsia="Arial" w:hAnsi="Arial"/>
          <w:sz w:val="24"/>
          <w:szCs w:val="24"/>
        </w:rPr>
        <w:t xml:space="preserve">Расчет страховых взносов с июня 2025 года:</w:t>
      </w:r>
    </w:p>
    <w:p>
      <w:pPr>
        <w:spacing w:after="120"/>
        <w:ind w:firstLine="709"/>
        <w:jc w:val="both"/>
      </w:pPr>
      <w:r>
        <w:rPr>
          <w:rFonts w:ascii="Arial" w:cs="Arial" w:eastAsia="Arial" w:hAnsi="Arial"/>
          <w:sz w:val="24"/>
          <w:szCs w:val="24"/>
        </w:rPr>
        <w:t xml:space="preserve">крестьянское (фермерское) хозяйство (далее – КФХ) без образования юридического лица семьи Азимовых, состоящей из 
 5 человек, проживающей в Ысык-Атинском районе Чуйской области (далее – семья Азимовых), имеет 19,5 га земли. Для расчета страховых взносов определяется категория каждого члена КФХ:</w:t>
      </w:r>
    </w:p>
    <w:p>
      <w:pPr>
        <w:spacing w:after="120"/>
        <w:ind w:firstLine="709"/>
        <w:jc w:val="both"/>
      </w:pPr>
      <w:r>
        <w:rPr>
          <w:rFonts w:ascii="Arial" w:cs="Arial" w:eastAsia="Arial" w:hAnsi="Arial"/>
          <w:sz w:val="24"/>
          <w:szCs w:val="24"/>
        </w:rPr>
        <w:t xml:space="preserve">члены КФХ:</w:t>
      </w:r>
    </w:p>
    <w:p>
      <w:pPr>
        <w:spacing w:after="120"/>
        <w:ind w:firstLine="709"/>
        <w:jc w:val="both"/>
      </w:pPr>
      <w:r>
        <w:rPr>
          <w:rFonts w:ascii="Arial" w:cs="Arial" w:eastAsia="Arial" w:hAnsi="Arial"/>
          <w:sz w:val="24"/>
          <w:szCs w:val="24"/>
        </w:rPr>
        <w:t xml:space="preserve">Азимов А.А. владеет земельной долей в 3,0 га (категория работника: 001 – основной)</w:t>
      </w:r>
      <w:r>
        <w:rPr>
          <w:rFonts w:ascii="Arial" w:cs="Arial" w:eastAsia="Arial" w:hAnsi="Arial"/>
          <w:sz w:val="24"/>
          <w:szCs w:val="24"/>
        </w:rPr>
        <w:t xml:space="preserve">,</w:t>
      </w:r>
      <w:r>
        <w:rPr>
          <w:rFonts w:ascii="Arial" w:cs="Arial" w:eastAsia="Arial" w:hAnsi="Arial"/>
          <w:sz w:val="24"/>
          <w:szCs w:val="24"/>
        </w:rPr>
        <w:t xml:space="preserve"> так как владеет земельной долей более 
 1 га, производит уплату в размере 6 % от СМЗ;</w:t>
      </w:r>
    </w:p>
    <w:p>
      <w:pPr>
        <w:spacing w:after="120"/>
        <w:ind w:firstLine="709"/>
        <w:jc w:val="both"/>
      </w:pPr>
      <w:r>
        <w:rPr>
          <w:rFonts w:ascii="Arial" w:cs="Arial" w:eastAsia="Arial" w:hAnsi="Arial"/>
          <w:sz w:val="24"/>
          <w:szCs w:val="24"/>
        </w:rPr>
        <w:t xml:space="preserve">Азимова Б.Б. владеет земельной долей в 11,0 га (категория работника: 001 – основной)</w:t>
      </w:r>
      <w:r>
        <w:rPr>
          <w:rFonts w:ascii="Arial" w:cs="Arial" w:eastAsia="Arial" w:hAnsi="Arial"/>
          <w:sz w:val="24"/>
          <w:szCs w:val="24"/>
        </w:rPr>
        <w:t xml:space="preserve">,</w:t>
      </w:r>
      <w:r>
        <w:rPr>
          <w:rFonts w:ascii="Arial" w:cs="Arial" w:eastAsia="Arial" w:hAnsi="Arial"/>
          <w:sz w:val="24"/>
          <w:szCs w:val="24"/>
        </w:rPr>
        <w:t xml:space="preserve"> так как владеет земельной долей более 
 1 га, производит уплату в размере 6 % от СМЗ;</w:t>
      </w:r>
    </w:p>
    <w:p>
      <w:pPr>
        <w:spacing w:after="120"/>
        <w:ind w:firstLine="709"/>
        <w:jc w:val="both"/>
      </w:pPr>
      <w:r>
        <w:rPr>
          <w:rFonts w:ascii="Arial" w:cs="Arial" w:eastAsia="Arial" w:hAnsi="Arial"/>
          <w:sz w:val="24"/>
          <w:szCs w:val="24"/>
        </w:rPr>
        <w:t xml:space="preserve">Азимов К.А. – пенсионер, владеет земельной долей в 2,0 га (категория работника: 003 – пенсионер), освобожден от уплаты страховых взносов;</w:t>
      </w:r>
    </w:p>
    <w:p>
      <w:pPr>
        <w:spacing w:after="120"/>
        <w:ind w:firstLine="709"/>
        <w:jc w:val="both"/>
      </w:pPr>
      <w:r>
        <w:rPr>
          <w:rFonts w:ascii="Arial" w:cs="Arial" w:eastAsia="Arial" w:hAnsi="Arial"/>
          <w:sz w:val="24"/>
          <w:szCs w:val="24"/>
        </w:rPr>
        <w:t xml:space="preserve">Азимова М.А. – умершая, владела земельной долей в 1,5 га (категория работника: 999 – умерший)</w:t>
      </w:r>
      <w:r>
        <w:rPr>
          <w:rFonts w:ascii="Arial" w:cs="Arial" w:eastAsia="Arial" w:hAnsi="Arial"/>
          <w:sz w:val="24"/>
          <w:szCs w:val="24"/>
        </w:rPr>
        <w:t xml:space="preserve">,</w:t>
      </w:r>
      <w:r>
        <w:rPr>
          <w:rFonts w:ascii="Arial" w:cs="Arial" w:eastAsia="Arial" w:hAnsi="Arial"/>
          <w:sz w:val="24"/>
          <w:szCs w:val="24"/>
        </w:rPr>
        <w:t xml:space="preserve"> согласно </w:t>
      </w:r>
      <w:r>
        <w:rPr>
          <w:rFonts w:ascii="Arial" w:cs="Arial" w:eastAsia="Arial" w:hAnsi="Arial"/>
          <w:sz w:val="24"/>
          <w:szCs w:val="24"/>
        </w:rPr>
        <w:t xml:space="preserve">статье 52</w:t>
      </w:r>
      <w:r>
        <w:rPr>
          <w:rFonts w:ascii="Arial" w:cs="Arial" w:eastAsia="Arial" w:hAnsi="Arial"/>
          <w:sz w:val="24"/>
          <w:szCs w:val="24"/>
        </w:rPr>
        <w:t xml:space="preserve"> Гражданского кодекса Кыргызской Республики правоспособность прекращена в связи со смертью;</w:t>
      </w:r>
    </w:p>
    <w:p>
      <w:pPr>
        <w:spacing w:after="120"/>
        <w:ind w:firstLine="709"/>
        <w:jc w:val="both"/>
      </w:pPr>
      <w:r>
        <w:rPr>
          <w:rFonts w:ascii="Arial" w:cs="Arial" w:eastAsia="Arial" w:hAnsi="Arial"/>
          <w:sz w:val="24"/>
          <w:szCs w:val="24"/>
        </w:rPr>
        <w:t xml:space="preserve">Азимова Т.Т. имеет II группу инвалидности, владеет земельной долей в 2,0 га (категория работника: 100 – инвалид I, II группы)</w:t>
      </w:r>
      <w:r>
        <w:rPr>
          <w:rFonts w:ascii="Arial" w:cs="Arial" w:eastAsia="Arial" w:hAnsi="Arial"/>
          <w:sz w:val="24"/>
          <w:szCs w:val="24"/>
        </w:rPr>
        <w:t xml:space="preserve">,</w:t>
      </w:r>
      <w:r>
        <w:rPr>
          <w:rFonts w:ascii="Arial" w:cs="Arial" w:eastAsia="Arial" w:hAnsi="Arial"/>
          <w:sz w:val="24"/>
          <w:szCs w:val="24"/>
        </w:rPr>
        <w:t xml:space="preserve"> освобождена от уплаты страховых взносов;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1272"/>
        <w:gridCol w:w="2089"/>
        <w:gridCol w:w="1769"/>
        <w:gridCol w:w="945"/>
        <w:gridCol w:w="1192"/>
        <w:gridCol w:w="1192"/>
        <w:gridCol w:w="1192"/>
      </w:tblGrid>
      <w:tr>
        <w:tc>
          <w:tcPr>
            <w:tcW w:type="dxa" w:w="5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членов КФХ</w:t>
            </w:r>
          </w:p>
        </w:tc>
        <w:tc>
          <w:tcPr>
            <w:tcW w:type="dxa" w:w="20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w:t>
            </w:r>
          </w:p>
        </w:tc>
        <w:tc>
          <w:tcPr>
            <w:tcW w:type="dxa" w:w="17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работника</w:t>
            </w:r>
          </w:p>
        </w:tc>
        <w:tc>
          <w:tcPr>
            <w:tcW w:type="dxa" w:w="9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5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Пенсион-ный фонд</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ФОМС</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ГНПФ</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22104198100471</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 от СМЗ</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11605198600578</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 от СМЗ</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21506196700443</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003</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11203197500698</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13112197800446</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случае если член КФХ владеет земельной долей менее 1 га, он освобождается от начисления и уплаты страховых взносов согласно пункту 2 статьи 11 Закона Кыргызской Республики «О тарифах страховых взносов по государственному социальному страхованию».</w:t>
      </w:r>
    </w:p>
    <w:p>
      <w:pPr>
        <w:spacing w:after="120"/>
        <w:ind w:firstLine="709"/>
        <w:jc w:val="both"/>
      </w:pPr>
      <w:r>
        <w:rPr>
          <w:rFonts w:ascii="Arial" w:cs="Arial" w:eastAsia="Arial" w:hAnsi="Arial"/>
          <w:sz w:val="24"/>
          <w:szCs w:val="24"/>
        </w:rPr>
        <w:t xml:space="preserve">В случае если члену КФХ не исполнилось 16 лет, он освобождается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708"/>
        <w:jc w:val="both"/>
      </w:pPr>
      <w:r>
        <w:rPr>
          <w:rFonts w:ascii="Arial" w:cs="Arial" w:eastAsia="Arial" w:hAnsi="Arial"/>
          <w:sz w:val="24"/>
          <w:szCs w:val="24"/>
        </w:rPr>
        <w:t xml:space="preserve">2) уплата страховых взносов с 2017 года по июнь 2025 года:</w:t>
      </w:r>
    </w:p>
    <w:p>
      <w:pPr>
        <w:spacing w:after="120"/>
        <w:ind w:firstLine="708"/>
        <w:jc w:val="both"/>
      </w:pPr>
      <w:r>
        <w:rPr>
          <w:rFonts w:ascii="Arial" w:cs="Arial" w:eastAsia="Arial" w:hAnsi="Arial"/>
          <w:sz w:val="24"/>
          <w:szCs w:val="24"/>
        </w:rPr>
        <w:t xml:space="preserve">– уплата страховых взносов за 2017–2025 годы для </w:t>
      </w:r>
      <w:r>
        <w:rPr>
          <w:rFonts w:ascii="Arial" w:cs="Arial" w:eastAsia="Arial" w:hAnsi="Arial"/>
          <w:sz w:val="24"/>
          <w:szCs w:val="24"/>
        </w:rPr>
        <w:t xml:space="preserve">КФХ</w:t>
      </w:r>
      <w:r>
        <w:rPr>
          <w:rFonts w:ascii="Arial" w:cs="Arial" w:eastAsia="Arial" w:hAnsi="Arial"/>
          <w:sz w:val="24"/>
          <w:szCs w:val="24"/>
        </w:rPr>
        <w:t xml:space="preserve"> без образования юридического лица и физических лиц, владеющих земельной долей и/или участком, производится по базовым ставкам тарифов страховых взносов (сом/га) (Закон Кыргызской Республики 
 «О тарифах страховых взносов по государственному социальному страхованию» в редакции от 5 января 2017 года № 2);</w:t>
      </w:r>
    </w:p>
    <w:p>
      <w:pPr>
        <w:spacing w:after="120"/>
        <w:ind w:firstLine="708"/>
        <w:jc w:val="both"/>
      </w:pPr>
      <w:r>
        <w:rPr>
          <w:rFonts w:ascii="Arial" w:cs="Arial" w:eastAsia="Arial" w:hAnsi="Arial"/>
          <w:sz w:val="24"/>
          <w:szCs w:val="24"/>
        </w:rPr>
        <w:t xml:space="preserve">– тарифы страховых взносов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120"/>
        <w:ind w:firstLine="708"/>
        <w:jc w:val="both"/>
      </w:pPr>
      <w:r>
        <w:rPr>
          <w:rFonts w:ascii="Arial" w:cs="Arial" w:eastAsia="Arial" w:hAnsi="Arial"/>
          <w:sz w:val="24"/>
          <w:szCs w:val="24"/>
        </w:rPr>
        <w:t xml:space="preserve">– 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120"/>
        <w:ind w:firstLine="708"/>
        <w:jc w:val="both"/>
      </w:pPr>
      <w:r>
        <w:rPr>
          <w:rFonts w:ascii="Arial" w:cs="Arial" w:eastAsia="Arial" w:hAnsi="Arial"/>
          <w:sz w:val="24"/>
          <w:szCs w:val="24"/>
        </w:rPr>
        <w:t xml:space="preserve">– 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w:t>
      </w:r>
    </w:p>
    <w:p>
      <w:pPr>
        <w:spacing w:after="120"/>
        <w:ind w:firstLine="708"/>
        <w:jc w:val="both"/>
      </w:pPr>
      <w:r>
        <w:rPr>
          <w:rFonts w:ascii="Arial" w:cs="Arial" w:eastAsia="Arial" w:hAnsi="Arial"/>
          <w:sz w:val="24"/>
          <w:szCs w:val="24"/>
        </w:rPr>
        <w:t xml:space="preserve">– 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w:t>
      </w:r>
    </w:p>
    <w:p>
      <w:pPr>
        <w:spacing w:after="120"/>
        <w:ind w:firstLine="708"/>
        <w:jc w:val="both"/>
      </w:pPr>
      <w:r>
        <w:rPr>
          <w:rFonts w:ascii="Arial" w:cs="Arial" w:eastAsia="Arial" w:hAnsi="Arial"/>
          <w:sz w:val="24"/>
          <w:szCs w:val="24"/>
        </w:rPr>
        <w:t xml:space="preserve">–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w:t>
      </w:r>
    </w:p>
    <w:p>
      <w:pPr>
        <w:spacing w:after="120"/>
        <w:ind w:firstLine="708"/>
        <w:jc w:val="both"/>
      </w:pPr>
      <w:r>
        <w:rPr>
          <w:rFonts w:ascii="Arial" w:cs="Arial" w:eastAsia="Arial" w:hAnsi="Arial"/>
          <w:sz w:val="24"/>
          <w:szCs w:val="24"/>
        </w:rPr>
        <w:t xml:space="preserve">– пример расчета страховых взносов за 2017–2025 годы:</w:t>
      </w:r>
    </w:p>
    <w:p>
      <w:pPr>
        <w:spacing w:after="120"/>
        <w:ind w:firstLine="708"/>
        <w:jc w:val="both"/>
      </w:pPr>
      <w:r>
        <w:rPr>
          <w:rFonts w:ascii="Arial" w:cs="Arial" w:eastAsia="Arial" w:hAnsi="Arial"/>
          <w:sz w:val="24"/>
          <w:szCs w:val="24"/>
        </w:rPr>
        <w:t xml:space="preserve">КФХ</w:t>
      </w:r>
      <w:r>
        <w:rPr>
          <w:rFonts w:ascii="Arial" w:cs="Arial" w:eastAsia="Arial" w:hAnsi="Arial"/>
          <w:sz w:val="24"/>
          <w:szCs w:val="24"/>
        </w:rPr>
        <w:t xml:space="preserve"> без образования юридического лица семьи Азимовых, состоящей из 5 человек, проживающей в Ысык-Атинском районе Чуйской области (далее – семья Азимовых), имеет 19,5 га земли. Для расчета страховых взносов определяется категория каждого члена КФХ: </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2500"/>
        <w:gridCol w:w="2943"/>
        <w:gridCol w:w="3990"/>
      </w:tblGrid>
      <w:tr>
        <w:tc>
          <w:tcPr>
            <w:tcW w:type="dxa" w:w="7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2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22104198100471</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11605198600578</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21506196700443</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пенсионер</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11203197500698</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 – умерший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13112197800446</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Расчет суммы страховых взносов по ставкам тарифов, установленных Законом Кыргызской Республики «О тарифах страховых взносов по государственному социальному страхованию», для семьи Азимовых производится следующим образом:</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189"/>
        <w:gridCol w:w="801"/>
        <w:gridCol w:w="801"/>
        <w:gridCol w:w="801"/>
        <w:gridCol w:w="801"/>
        <w:gridCol w:w="866"/>
        <w:gridCol w:w="866"/>
        <w:gridCol w:w="797"/>
        <w:gridCol w:w="797"/>
        <w:gridCol w:w="869"/>
        <w:gridCol w:w="1111"/>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w:t>
            </w:r>
          </w:p>
        </w:tc>
        <w:tc>
          <w:tcPr>
            <w:tcW w:type="dxa" w:w="11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1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
 400 сом</w:t>
            </w:r>
            <w:r>
              <w:rPr>
                <w:rFonts w:ascii="Arial" w:cs="Arial" w:eastAsia="Arial" w:hAnsi="Arial"/>
                <w:b/>
                <w:bCs/>
                <w:sz w:val="24"/>
                <w:szCs w:val="24"/>
              </w:rPr>
              <w:t xml:space="preserve">.</w:t>
            </w:r>
            <w:r>
              <w:rPr>
                <w:rFonts w:ascii="Arial" w:cs="Arial" w:eastAsia="Arial" w:hAnsi="Arial"/>
                <w:b/>
                <w:bCs/>
                <w:sz w:val="24"/>
                <w:szCs w:val="24"/>
              </w:rPr>
              <w:t xml:space="preserve">/га</w:t>
            </w:r>
          </w:p>
        </w:tc>
        <w:tc>
          <w:tcPr>
            <w:tcW w:type="dxa" w:w="1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–74,2 сом</w:t>
            </w:r>
            <w:r>
              <w:rPr>
                <w:rFonts w:ascii="Arial" w:cs="Arial" w:eastAsia="Arial" w:hAnsi="Arial"/>
                <w:b/>
                <w:bCs/>
                <w:sz w:val="24"/>
                <w:szCs w:val="24"/>
              </w:rPr>
              <w:t xml:space="preserve">.</w:t>
            </w:r>
            <w:r>
              <w:rPr>
                <w:rFonts w:ascii="Arial" w:cs="Arial" w:eastAsia="Arial" w:hAnsi="Arial"/>
                <w:b/>
                <w:bCs/>
                <w:sz w:val="24"/>
                <w:szCs w:val="24"/>
              </w:rPr>
              <w:t xml:space="preserve">/га</w:t>
            </w:r>
          </w:p>
        </w:tc>
        <w:tc>
          <w:tcPr>
            <w:tcW w:type="dxa" w:w="17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 213 сом</w:t>
            </w:r>
            <w:r>
              <w:rPr>
                <w:rFonts w:ascii="Arial" w:cs="Arial" w:eastAsia="Arial" w:hAnsi="Arial"/>
                <w:b/>
                <w:bCs/>
                <w:sz w:val="24"/>
                <w:szCs w:val="24"/>
              </w:rPr>
              <w:t xml:space="preserve">.</w:t>
            </w:r>
            <w:r>
              <w:rPr>
                <w:rFonts w:ascii="Arial" w:cs="Arial" w:eastAsia="Arial" w:hAnsi="Arial"/>
                <w:b/>
                <w:bCs/>
                <w:sz w:val="24"/>
                <w:szCs w:val="24"/>
              </w:rPr>
              <w:t xml:space="preserve">/га</w:t>
            </w:r>
          </w:p>
        </w:tc>
        <w:tc>
          <w:tcPr>
            <w:tcW w:type="dxa" w:w="15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 пастбища – 15 сом</w:t>
            </w:r>
            <w:r>
              <w:rPr>
                <w:rFonts w:ascii="Arial" w:cs="Arial" w:eastAsia="Arial" w:hAnsi="Arial"/>
                <w:b/>
                <w:bCs/>
                <w:sz w:val="24"/>
                <w:szCs w:val="24"/>
              </w:rPr>
              <w:t xml:space="preserve">.</w:t>
            </w:r>
            <w:r>
              <w:rPr>
                <w:rFonts w:ascii="Arial" w:cs="Arial" w:eastAsia="Arial" w:hAnsi="Arial"/>
                <w:b/>
                <w:bCs/>
                <w:sz w:val="24"/>
                <w:szCs w:val="24"/>
              </w:rPr>
              <w:t xml:space="preserve">/га</w:t>
            </w:r>
          </w:p>
        </w:tc>
        <w:tc>
          <w:tcPr>
            <w:tcW w:type="dxa" w:w="8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11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r>
              <w:rPr>
                <w:rFonts w:ascii="Arial" w:cs="Arial" w:eastAsia="Arial" w:hAnsi="Arial"/>
                <w:sz w:val="24"/>
                <w:szCs w:val="24"/>
              </w:rPr>
              <w:t xml:space="preserve">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ачис-ленные страхо-вые взносы (сом.)</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r>
              <w:rPr>
                <w:rFonts w:ascii="Arial" w:cs="Arial" w:eastAsia="Arial" w:hAnsi="Arial"/>
                <w:sz w:val="24"/>
                <w:szCs w:val="24"/>
              </w:rPr>
              <w:t xml:space="preserve">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ачис-ленные страхо-вые взносы (сом.)</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r>
              <w:rPr>
                <w:rFonts w:ascii="Arial" w:cs="Arial" w:eastAsia="Arial" w:hAnsi="Arial"/>
                <w:sz w:val="24"/>
                <w:szCs w:val="24"/>
              </w:rPr>
              <w:t xml:space="preserve">а</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ачис-ленные страхо-вые взносы (сом.)</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r>
              <w:rPr>
                <w:rFonts w:ascii="Arial" w:cs="Arial" w:eastAsia="Arial" w:hAnsi="Arial"/>
                <w:sz w:val="24"/>
                <w:szCs w:val="24"/>
              </w:rPr>
              <w:t xml:space="preserve">а</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2337,5</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3211,7</w:t>
            </w:r>
          </w:p>
        </w:tc>
      </w:tr>
    </w:tbl>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семье Азимовых членами хозяйства являются: Азимов К.А. – пенсионер, Азимова М.А. – умершая, Азимова Т.Т. </w:t>
      </w:r>
      <w:r>
        <w:rPr>
          <w:rFonts w:ascii="Arial" w:cs="Arial" w:eastAsia="Arial" w:hAnsi="Arial"/>
          <w:sz w:val="24"/>
          <w:szCs w:val="24"/>
        </w:rPr>
        <w:t xml:space="preserve">– </w:t>
      </w:r>
      <w:r>
        <w:rPr>
          <w:rFonts w:ascii="Arial" w:cs="Arial" w:eastAsia="Arial" w:hAnsi="Arial"/>
          <w:sz w:val="24"/>
          <w:szCs w:val="24"/>
        </w:rPr>
        <w:t xml:space="preserve">инвалид 
 II группы, в связи с чем Азимов К.А. и Азимова Т.Т. освобождены от начисления и уплаты страховых взносов согласно пункту 2 статьи 11 и статьи 11</w:t>
      </w:r>
      <w:r>
        <w:rPr>
          <w:rFonts w:ascii="Arial" w:cs="Arial" w:eastAsia="Arial" w:hAnsi="Arial"/>
          <w:sz w:val="24"/>
          <w:szCs w:val="24"/>
        </w:rPr>
        <w:t xml:space="preserve">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Азимова М.А. – согласно статье 52 Гражданского кодекса Кыргызской Республики.</w:t>
      </w:r>
    </w:p>
    <w:p>
      <w:pPr>
        <w:spacing w:after="120"/>
        <w:ind w:firstLine="709"/>
        <w:jc w:val="both"/>
      </w:pPr>
      <w:r>
        <w:rPr>
          <w:rFonts w:ascii="Arial" w:cs="Arial" w:eastAsia="Arial" w:hAnsi="Arial"/>
          <w:sz w:val="24"/>
          <w:szCs w:val="24"/>
        </w:rPr>
        <w:t xml:space="preserve">Итого сумма к оплате составляет 3211,7 (три тысячи двести одиннадцать) сомов 70 тыйынов;</w:t>
      </w:r>
    </w:p>
    <w:p>
      <w:pPr>
        <w:spacing w:after="120"/>
        <w:ind w:firstLine="709"/>
        <w:jc w:val="both"/>
      </w:pPr>
      <w:r>
        <w:rPr>
          <w:rFonts w:ascii="Arial" w:cs="Arial" w:eastAsia="Arial" w:hAnsi="Arial"/>
          <w:sz w:val="24"/>
          <w:szCs w:val="24"/>
        </w:rPr>
        <w:t xml:space="preserve">3) расчет страховых взносов за 2015–2016 годы:</w:t>
      </w:r>
    </w:p>
    <w:p>
      <w:pPr>
        <w:spacing w:after="120"/>
        <w:ind w:firstLine="709"/>
        <w:jc w:val="both"/>
      </w:pPr>
      <w:r>
        <w:rPr>
          <w:rFonts w:ascii="Arial" w:cs="Arial" w:eastAsia="Arial" w:hAnsi="Arial"/>
          <w:sz w:val="24"/>
          <w:szCs w:val="24"/>
        </w:rPr>
        <w:t xml:space="preserve">уплата страховых взносов за 2015–2016 годы для КФХ без образования юридического лица и физических лиц, владеющих земельной долей и/или участком, производится по ставкам тарифов от среднемесячной заработной платы, сложившейся в районах и городах республики за предыдущий календарный год, в следующих размерах:</w:t>
      </w:r>
    </w:p>
    <w:p>
      <w:pPr>
        <w:spacing w:after="120"/>
        <w:ind w:firstLine="709"/>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120"/>
        <w:ind w:firstLine="709"/>
        <w:jc w:val="both"/>
      </w:pPr>
      <w:r>
        <w:rPr>
          <w:rFonts w:ascii="Arial" w:cs="Arial" w:eastAsia="Arial" w:hAnsi="Arial"/>
          <w:sz w:val="24"/>
          <w:szCs w:val="24"/>
        </w:rPr>
        <w:t xml:space="preserve">– владеющие земельной долей от 2 до 10 га:</w:t>
      </w:r>
    </w:p>
    <w:p>
      <w:pPr>
        <w:spacing w:after="120"/>
        <w:ind w:firstLine="709"/>
        <w:jc w:val="both"/>
      </w:pPr>
      <w:r>
        <w:rPr>
          <w:rFonts w:ascii="Arial" w:cs="Arial" w:eastAsia="Arial" w:hAnsi="Arial"/>
          <w:sz w:val="24"/>
          <w:szCs w:val="24"/>
        </w:rPr>
        <w:t xml:space="preserve">ежемесячно с 1 января 2015 года по 31 декабря 2015 года – 1 процент;</w:t>
      </w:r>
    </w:p>
    <w:p>
      <w:pPr>
        <w:spacing w:after="120"/>
        <w:ind w:firstLine="709"/>
        <w:jc w:val="both"/>
      </w:pPr>
      <w:r>
        <w:rPr>
          <w:rFonts w:ascii="Arial" w:cs="Arial" w:eastAsia="Arial" w:hAnsi="Arial"/>
          <w:sz w:val="24"/>
          <w:szCs w:val="24"/>
        </w:rPr>
        <w:t xml:space="preserve">ежемесячно с 1 января 2016 года по 31 декабря 2016 года – 1,5 процента;</w:t>
      </w:r>
    </w:p>
    <w:p>
      <w:pPr>
        <w:spacing w:after="120"/>
        <w:ind w:firstLine="709"/>
        <w:jc w:val="both"/>
      </w:pPr>
      <w:r>
        <w:rPr>
          <w:rFonts w:ascii="Arial" w:cs="Arial" w:eastAsia="Arial" w:hAnsi="Arial"/>
          <w:sz w:val="24"/>
          <w:szCs w:val="24"/>
        </w:rPr>
        <w:t xml:space="preserve">– владеющие земельной долей от 10 га и выше:</w:t>
      </w:r>
    </w:p>
    <w:p>
      <w:pPr>
        <w:spacing w:after="120"/>
        <w:ind w:firstLine="709"/>
        <w:jc w:val="both"/>
      </w:pPr>
      <w:r>
        <w:rPr>
          <w:rFonts w:ascii="Arial" w:cs="Arial" w:eastAsia="Arial" w:hAnsi="Arial"/>
          <w:sz w:val="24"/>
          <w:szCs w:val="24"/>
        </w:rPr>
        <w:t xml:space="preserve">ежемесячно с 1 января 2015 года по 31 декабря 2015 года – 2 процента;</w:t>
      </w:r>
    </w:p>
    <w:p>
      <w:pPr>
        <w:spacing w:after="120"/>
        <w:ind w:firstLine="709"/>
        <w:jc w:val="both"/>
      </w:pPr>
      <w:r>
        <w:rPr>
          <w:rFonts w:ascii="Arial" w:cs="Arial" w:eastAsia="Arial" w:hAnsi="Arial"/>
          <w:sz w:val="24"/>
          <w:szCs w:val="24"/>
        </w:rPr>
        <w:t xml:space="preserve">ежемесячно с 1 января 2016 года по 31 декабря 2016 года – 3 процента.</w:t>
      </w:r>
    </w:p>
    <w:p>
      <w:pPr>
        <w:spacing w:after="120"/>
        <w:ind w:firstLine="709"/>
        <w:jc w:val="both"/>
      </w:pPr>
      <w:r>
        <w:rPr>
          <w:rFonts w:ascii="Arial" w:cs="Arial" w:eastAsia="Arial" w:hAnsi="Arial"/>
          <w:sz w:val="24"/>
          <w:szCs w:val="24"/>
        </w:rPr>
        <w:t xml:space="preserve">Распределение по фондам уплаченных сумм страховых взносов главами и членами КФХ без образования юридического лица производится в следующих размерах:</w:t>
      </w:r>
    </w:p>
    <w:p>
      <w:pPr>
        <w:spacing w:after="120"/>
        <w:ind w:firstLine="709"/>
        <w:jc w:val="both"/>
      </w:pPr>
      <w:r>
        <w:rPr>
          <w:rFonts w:ascii="Arial" w:cs="Arial" w:eastAsia="Arial" w:hAnsi="Arial"/>
          <w:sz w:val="24"/>
          <w:szCs w:val="24"/>
        </w:rPr>
        <w:t xml:space="preserve">– в Пенсионный фонд – 90 процентов;</w:t>
      </w:r>
    </w:p>
    <w:p>
      <w:pPr>
        <w:spacing w:after="120"/>
        <w:ind w:firstLine="709"/>
        <w:jc w:val="both"/>
      </w:pPr>
      <w:r>
        <w:rPr>
          <w:rFonts w:ascii="Arial" w:cs="Arial" w:eastAsia="Arial" w:hAnsi="Arial"/>
          <w:sz w:val="24"/>
          <w:szCs w:val="24"/>
        </w:rPr>
        <w:t xml:space="preserve">– в Фонд обязательного медицинского страхования – 10 процентов.</w:t>
      </w:r>
    </w:p>
    <w:p>
      <w:pPr>
        <w:spacing w:after="120"/>
        <w:ind w:firstLine="709"/>
        <w:jc w:val="both"/>
      </w:pPr>
      <w:r>
        <w:rPr>
          <w:rFonts w:ascii="Arial" w:cs="Arial" w:eastAsia="Arial" w:hAnsi="Arial"/>
          <w:sz w:val="24"/>
          <w:szCs w:val="24"/>
        </w:rPr>
        <w:t xml:space="preserve">Пример:</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2500"/>
        <w:gridCol w:w="2943"/>
        <w:gridCol w:w="3990"/>
      </w:tblGrid>
      <w:tr>
        <w:tc>
          <w:tcPr>
            <w:tcW w:type="dxa" w:w="7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2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22104197500471</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11605197900578</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21103200000443</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пенсионер</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11203197500698</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 – умерший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13112197800446</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семьи Азимовых, владеющей 19,5 га земли, расчет суммы страховых взносов за 1 полугодие 2016 года производится следующим образом:</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1079"/>
        <w:gridCol w:w="845"/>
        <w:gridCol w:w="845"/>
        <w:gridCol w:w="910"/>
        <w:gridCol w:w="761"/>
        <w:gridCol w:w="684"/>
        <w:gridCol w:w="759"/>
        <w:gridCol w:w="1270"/>
        <w:gridCol w:w="924"/>
        <w:gridCol w:w="821"/>
        <w:gridCol w:w="1038"/>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sz w:val="24"/>
                <w:szCs w:val="24"/>
              </w:rPr>
              <w:t xml:space="preserve"/>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(га)</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(га)</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(га)</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
 паст-бища (га)</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(сом.)</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 полугодие 2016 года, средне-месячная заработ-ная плата за 2014 год (сом.)</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1 месяц (сом.)</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меся-цев</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1 полуго-дие (сом.)</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867,6</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1735,2</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3181,2</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семье Азимовых члену хозяйства Азимову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708"/>
        <w:jc w:val="both"/>
      </w:pPr>
      <w:r>
        <w:rPr>
          <w:rFonts w:ascii="Arial" w:cs="Arial" w:eastAsia="Arial" w:hAnsi="Arial"/>
          <w:sz w:val="24"/>
          <w:szCs w:val="24"/>
        </w:rPr>
        <w:t xml:space="preserve">Также в семье Азимовых член хозяйства Азимова Т.Т., которая имеет II группу инвалидности, освобождена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708"/>
        <w:jc w:val="both"/>
      </w:pPr>
      <w:r>
        <w:rPr>
          <w:rFonts w:ascii="Arial" w:cs="Arial" w:eastAsia="Arial" w:hAnsi="Arial"/>
          <w:sz w:val="24"/>
          <w:szCs w:val="24"/>
        </w:rPr>
        <w:t xml:space="preserve">Итого сумма к оплате за 1 полугодие 2016 года составляет 
 3181,2 (три тысячи сто восемьдесят один) сом 20 тыйынов.</w:t>
      </w:r>
    </w:p>
    <w:p>
      <w:pPr>
        <w:spacing w:after="120"/>
        <w:ind w:firstLine="708"/>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120"/>
        <w:ind w:firstLine="708"/>
        <w:jc w:val="both"/>
      </w:pPr>
      <w:r>
        <w:rPr>
          <w:rFonts w:ascii="Arial" w:cs="Arial" w:eastAsia="Arial" w:hAnsi="Arial"/>
          <w:sz w:val="24"/>
          <w:szCs w:val="24"/>
        </w:rPr>
        <w:t xml:space="preserve">4) расчет страховых взносов за 1998–2014 годы:</w:t>
      </w:r>
    </w:p>
    <w:p>
      <w:pPr>
        <w:spacing w:after="120"/>
        <w:ind w:firstLine="708"/>
        <w:jc w:val="both"/>
      </w:pPr>
      <w:r>
        <w:rPr>
          <w:rFonts w:ascii="Arial" w:cs="Arial" w:eastAsia="Arial" w:hAnsi="Arial"/>
          <w:sz w:val="24"/>
          <w:szCs w:val="24"/>
        </w:rPr>
        <w:t xml:space="preserve">с 1998 по 2014 годы КФХ без образования юридического лица и физические лица, владеющие земельным участком (долей), уплачивали страховые взносы в размере базовой ставки земельного налога, установленного налоговым законодательством.</w:t>
      </w:r>
    </w:p>
    <w:p>
      <w:pPr>
        <w:spacing w:after="120"/>
        <w:ind w:firstLine="708"/>
        <w:jc w:val="both"/>
      </w:pPr>
      <w:r>
        <w:rPr>
          <w:rFonts w:ascii="Arial" w:cs="Arial" w:eastAsia="Arial" w:hAnsi="Arial"/>
          <w:sz w:val="24"/>
          <w:szCs w:val="24"/>
        </w:rPr>
        <w:t xml:space="preserve">Пример:</w:t>
      </w:r>
    </w:p>
    <w:p>
      <w:pPr>
        <w:spacing w:after="120"/>
        <w:ind w:firstLine="708"/>
        <w:jc w:val="both"/>
      </w:pPr>
      <w:r>
        <w:rPr>
          <w:rFonts w:ascii="Arial" w:cs="Arial" w:eastAsia="Arial" w:hAnsi="Arial"/>
          <w:sz w:val="24"/>
          <w:szCs w:val="24"/>
        </w:rPr>
        <w:t xml:space="preserve">для семьи Азимовых, владеющей 19,5 га земли, расчет суммы страховых взносов за 2014 год производится следующим образом:</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167"/>
        <w:gridCol w:w="814"/>
        <w:gridCol w:w="814"/>
        <w:gridCol w:w="814"/>
        <w:gridCol w:w="814"/>
        <w:gridCol w:w="879"/>
        <w:gridCol w:w="879"/>
        <w:gridCol w:w="815"/>
        <w:gridCol w:w="815"/>
        <w:gridCol w:w="837"/>
        <w:gridCol w:w="1116"/>
      </w:tblGrid>
      <w:tr>
        <w:tc>
          <w:tcPr>
            <w:tcW w:type="dxa" w:w="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w:t>
            </w:r>
          </w:p>
        </w:tc>
        <w:tc>
          <w:tcPr>
            <w:tcW w:type="dxa" w:w="11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16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базовой ставки земельного налога за орошаемые пашни – 400 сом./га</w:t>
            </w:r>
          </w:p>
        </w:tc>
        <w:tc>
          <w:tcPr>
            <w:tcW w:type="dxa" w:w="16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базовой ставки земельного налога за богарные пашни – 74,2 сом./га</w:t>
            </w:r>
          </w:p>
        </w:tc>
        <w:tc>
          <w:tcPr>
            <w:tcW w:type="dxa" w:w="17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базовой ставки земельного налога за многолетние насаждения – 213 сом./га</w:t>
            </w:r>
          </w:p>
        </w:tc>
        <w:tc>
          <w:tcPr>
            <w:tcW w:type="dxa" w:w="16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базовой ставки земельного налога за пастбища – 15 сом./га</w:t>
            </w:r>
          </w:p>
        </w:tc>
        <w:tc>
          <w:tcPr>
            <w:tcW w:type="dxa" w:w="8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начис-ленных страхо-вых взносов (сом.</w:t>
            </w:r>
            <w:r>
              <w:rPr>
                <w:rFonts w:ascii="Arial" w:cs="Arial" w:eastAsia="Arial" w:hAnsi="Arial"/>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2335,4</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3209,6</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За период 1998–2013 годов расчет суммы страховых взносов производится аналогично расчету на 2014 год. Итого сумма к оплате за 2014 год составляет 3209,6 (три тысячи двести девять) сомов 60 тыйынов;</w:t>
      </w:r>
    </w:p>
    <w:p>
      <w:pPr>
        <w:spacing w:after="120"/>
        <w:ind w:firstLine="708"/>
        <w:jc w:val="both"/>
      </w:pPr>
      <w:r>
        <w:rPr>
          <w:rFonts w:ascii="Arial" w:cs="Arial" w:eastAsia="Arial" w:hAnsi="Arial"/>
          <w:sz w:val="24"/>
          <w:szCs w:val="24"/>
        </w:rPr>
        <w:t xml:space="preserve">5) расчет страховых взносов за 1997 год:</w:t>
      </w:r>
    </w:p>
    <w:p>
      <w:pPr>
        <w:spacing w:after="120"/>
        <w:ind w:firstLine="708"/>
        <w:jc w:val="both"/>
      </w:pPr>
      <w:r>
        <w:rPr>
          <w:rFonts w:ascii="Arial" w:cs="Arial" w:eastAsia="Arial" w:hAnsi="Arial"/>
          <w:sz w:val="24"/>
          <w:szCs w:val="24"/>
        </w:rPr>
        <w:t xml:space="preserve">расчет страховых взносов для КФХ без образования юридического лица, физических лиц, владеющих земельным участком (долей), производится по ставкам тарифов, установленных Законом Кыргызской Республики «О республиканском бюджете Кыргызской Республики на 1997 год» в следующих размерах: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 при размере земельного надела на одного члена хозяйства от 0,05 га до 0,15 га – 23 процента от одной минимальной заработной платы за каждого трудоспособного члена;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 при размере земельного надела на одного члена хозяйства от 0,16 га до 0,25 га – 23 процента от двух минимальных заработных плат за каждого трудоспособного члена;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 при размере земельного надела на одного члена хозяйства свыше 0,26 га – 23 процента от трех минимальных заработных плат за каждого трудоспособного члена.</w:t>
      </w:r>
    </w:p>
    <w:p>
      <w:pPr>
        <w:spacing w:after="120"/>
        <w:ind w:firstLine="708"/>
        <w:jc w:val="both"/>
      </w:pPr>
      <w:r>
        <w:rPr>
          <w:rFonts w:ascii="Arial" w:cs="Arial" w:eastAsia="Arial" w:hAnsi="Arial"/>
          <w:sz w:val="24"/>
          <w:szCs w:val="24"/>
        </w:rPr>
        <w:t xml:space="preserve">Расчет производится следующим образом:</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1429"/>
        <w:gridCol w:w="1154"/>
        <w:gridCol w:w="1060"/>
        <w:gridCol w:w="1060"/>
        <w:gridCol w:w="1327"/>
        <w:gridCol w:w="1015"/>
        <w:gridCol w:w="1015"/>
        <w:gridCol w:w="1647"/>
      </w:tblGrid>
      <w:tr>
        <w:tc>
          <w:tcPr>
            <w:tcW w:type="dxa" w:w="4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земель-ного надела (га)</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Минимальная заработная плата (МЗП)</w:t>
            </w:r>
          </w:p>
        </w:tc>
        <w:tc>
          <w:tcPr>
            <w:tcW w:type="dxa" w:w="13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w:t>
            </w:r>
          </w:p>
        </w:tc>
        <w:tc>
          <w:tcPr>
            <w:tcW w:type="dxa" w:w="20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месяц (сом.)</w:t>
            </w:r>
          </w:p>
        </w:tc>
        <w:tc>
          <w:tcPr>
            <w:tcW w:type="dxa" w:w="1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год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
 годие (сом.)</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полу-
 годие (сом.)</w:t>
            </w:r>
          </w:p>
        </w:tc>
        <w:tc>
          <w:tcPr>
            <w:vMerge w:val="continue"/>
            <w:tcBorders>
              <w:top w:val="single" w:color="CBBF9E" w:sz="4"/>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
 годие (сом.)</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полу-
 годие (сом.</w:t>
            </w:r>
            <w:r>
              <w:rPr>
                <w:rFonts w:ascii="Arial" w:cs="Arial" w:eastAsia="Arial" w:hAnsi="Arial"/>
                <w:sz w:val="24"/>
                <w:szCs w:val="24"/>
              </w:rPr>
              <w:t xml:space="preserve">)</w:t>
            </w:r>
          </w:p>
        </w:tc>
        <w:tc>
          <w:tcPr>
            <w:vMerge w:val="continue"/>
            <w:tcBorders>
              <w:top w:val="single" w:color="CBBF9E" w:sz="4"/>
              <w:left w:val="none" w:color="auto" w:sz="0"/>
              <w:bottom w:val="single" w:color="CBBF9E" w:sz="4"/>
              <w:right w:val="single" w:color="CBBF9E" w:sz="4"/>
            </w:tcBorders>
          </w:tcP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одной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одной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двух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двух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0,26 и выше</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трех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455,4</w:t>
            </w:r>
          </w:p>
        </w:tc>
      </w:tr>
    </w:tbl>
    <w:p>
      <w:pPr>
        <w:spacing w:after="120"/>
        <w:ind w:firstLine="708"/>
        <w:jc w:val="right"/>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 расчет страховых взносов за 1996 год:</w:t>
      </w:r>
    </w:p>
    <w:p>
      <w:pPr>
        <w:spacing w:after="120"/>
        <w:ind w:firstLine="708"/>
        <w:jc w:val="both"/>
      </w:pPr>
      <w:r>
        <w:rPr>
          <w:rFonts w:ascii="Arial" w:cs="Arial" w:eastAsia="Arial" w:hAnsi="Arial"/>
          <w:sz w:val="24"/>
          <w:szCs w:val="24"/>
        </w:rPr>
        <w:t xml:space="preserve">расчет страховых взносов для КФХ без образования юридического лица производится по ставкам тарифов, установленным Законом Кыргызской Республики «О республиканском бюджете Кыргызской Республики на 1996 год», в размере 23 процента от трехкратного размера минимальной заработной платы с ежемесячной выплатой страховых взносов.</w:t>
      </w:r>
    </w:p>
    <w:p>
      <w:pPr>
        <w:spacing w:after="120"/>
        <w:ind w:firstLine="708"/>
        <w:jc w:val="both"/>
      </w:pPr>
      <w:r>
        <w:rPr>
          <w:rFonts w:ascii="Arial" w:cs="Arial" w:eastAsia="Arial" w:hAnsi="Arial"/>
          <w:sz w:val="24"/>
          <w:szCs w:val="24"/>
        </w:rPr>
        <w:t xml:space="preserve">Расчет страховых взносов за 1996 год производится вне зависимости от количества земельной доли:</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201"/>
        <w:gridCol w:w="2010"/>
        <w:gridCol w:w="1849"/>
        <w:gridCol w:w="1848"/>
        <w:gridCol w:w="1848"/>
      </w:tblGrid>
      <w:tr>
        <w:tc>
          <w:tcPr>
            <w:tcW w:type="dxa" w:w="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w:t>
            </w:r>
          </w:p>
          <w:p>
            <w:pPr>
              <w:jc w:val="center"/>
            </w:pPr>
            <w:r>
              <w:rPr>
                <w:rFonts w:ascii="Arial" w:cs="Arial" w:eastAsia="Arial" w:hAnsi="Arial"/>
                <w:b/>
                <w:bCs/>
                <w:sz w:val="24"/>
                <w:szCs w:val="24"/>
              </w:rPr>
              <w:t xml:space="preserve">КФХ</w:t>
            </w:r>
          </w:p>
        </w:tc>
        <w:tc>
          <w:tcPr>
            <w:tcW w:type="dxa" w:w="2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3-кратный размер минимальной заработной платы (сом.)(*)</w:t>
            </w:r>
          </w:p>
        </w:tc>
        <w:tc>
          <w:tcPr>
            <w:tcW w:type="dxa" w:w="18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w:t>
            </w:r>
          </w:p>
        </w:tc>
        <w:tc>
          <w:tcPr>
            <w:tcW w:type="dxa" w:w="36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месяц</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год</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Минимальная заработная плата для расчета страховых взносов за 1996 год – 75 сомов.»;</w:t>
      </w:r>
    </w:p>
    <w:p>
      <w:pPr>
        <w:spacing w:after="120"/>
        <w:ind w:firstLine="709"/>
        <w:jc w:val="both"/>
      </w:pPr>
      <w:r>
        <w:rPr>
          <w:rFonts w:ascii="Arial" w:cs="Arial" w:eastAsia="Arial" w:hAnsi="Arial"/>
          <w:sz w:val="24"/>
          <w:szCs w:val="24"/>
        </w:rPr>
        <w:t xml:space="preserve">6) в пунктах 33, 34, 35 слова «в пункте 32» заменить словами «в пункте 29»;</w:t>
      </w:r>
    </w:p>
    <w:p>
      <w:pPr>
        <w:spacing w:after="120"/>
        <w:ind w:firstLine="709"/>
        <w:jc w:val="both"/>
      </w:pPr>
      <w:r>
        <w:rPr>
          <w:rFonts w:ascii="Arial" w:cs="Arial" w:eastAsia="Arial" w:hAnsi="Arial"/>
          <w:sz w:val="24"/>
          <w:szCs w:val="24"/>
        </w:rPr>
        <w:t xml:space="preserve">7) в пункте 47:</w:t>
      </w:r>
    </w:p>
    <w:p>
      <w:pPr>
        <w:spacing w:after="120"/>
        <w:ind w:firstLine="709"/>
        <w:jc w:val="both"/>
      </w:pPr>
      <w:r>
        <w:rPr>
          <w:rFonts w:ascii="Arial" w:cs="Arial" w:eastAsia="Arial" w:hAnsi="Arial"/>
          <w:sz w:val="24"/>
          <w:szCs w:val="24"/>
        </w:rPr>
        <w:t xml:space="preserve">– подпункт 5 изложить в следующей редакции: </w:t>
      </w:r>
    </w:p>
    <w:p>
      <w:pPr>
        <w:spacing w:after="120"/>
        <w:ind w:firstLine="709"/>
        <w:jc w:val="both"/>
      </w:pPr>
      <w:r>
        <w:rPr>
          <w:rFonts w:ascii="Arial" w:cs="Arial" w:eastAsia="Arial" w:hAnsi="Arial"/>
          <w:sz w:val="24"/>
          <w:szCs w:val="24"/>
        </w:rPr>
        <w:t xml:space="preserve">«5) наемные работники, занятые в текстильном и швейном производствах (за исключением нанятых индивидуальными предпринимателями, занятыми в текстильном и швейном производствах, уплачивающими налоги по общему налоговому режиму на основе единого налога);»;</w:t>
      </w:r>
    </w:p>
    <w:p>
      <w:pPr>
        <w:spacing w:after="120"/>
        <w:ind w:firstLine="709"/>
        <w:jc w:val="both"/>
      </w:pPr>
      <w:r>
        <w:rPr>
          <w:rFonts w:ascii="Arial" w:cs="Arial" w:eastAsia="Arial" w:hAnsi="Arial"/>
          <w:sz w:val="24"/>
          <w:szCs w:val="24"/>
        </w:rPr>
        <w:t xml:space="preserve"> – дополнить подпунктами 12–14 следующего содержания:</w:t>
      </w:r>
    </w:p>
    <w:p>
      <w:pPr>
        <w:spacing w:after="120"/>
        <w:ind w:firstLine="709"/>
        <w:jc w:val="both"/>
      </w:pPr>
      <w:r>
        <w:rPr>
          <w:rFonts w:ascii="Arial" w:cs="Arial" w:eastAsia="Arial" w:hAnsi="Arial"/>
          <w:sz w:val="24"/>
          <w:szCs w:val="24"/>
        </w:rPr>
        <w:t xml:space="preserve">«12) физические лица, зарегистрированные в качестве резидента Парка высоких технологий и</w:t>
      </w:r>
      <w:r>
        <w:rPr>
          <w:rFonts w:ascii="Arial" w:cs="Arial" w:eastAsia="Arial" w:hAnsi="Arial"/>
          <w:sz w:val="24"/>
          <w:szCs w:val="24"/>
        </w:rPr>
        <w:t xml:space="preserve">/или</w:t>
      </w:r>
      <w:r>
        <w:rPr>
          <w:rFonts w:ascii="Arial" w:cs="Arial" w:eastAsia="Arial" w:hAnsi="Arial"/>
          <w:sz w:val="24"/>
          <w:szCs w:val="24"/>
        </w:rPr>
        <w:t xml:space="preserve"> Парка креативных индустрий;</w:t>
      </w:r>
    </w:p>
    <w:p>
      <w:pPr>
        <w:spacing w:after="120"/>
        <w:ind w:firstLine="709"/>
        <w:jc w:val="both"/>
      </w:pPr>
      <w:r>
        <w:rPr>
          <w:rFonts w:ascii="Arial" w:cs="Arial" w:eastAsia="Arial" w:hAnsi="Arial"/>
          <w:sz w:val="24"/>
          <w:szCs w:val="24"/>
        </w:rPr>
        <w:t xml:space="preserve">13) физические лица, осуществляющие деятельность и получающие доход от использования информационной системы, применяемой для заказа перевозки пассажиров и грузов, услуг службы такси и курьерской услуги, желающие на добровольной основе пополнить личный страховой счет путем приобретения страхового полиса на текущий и/или будущий период;</w:t>
      </w:r>
    </w:p>
    <w:p>
      <w:pPr>
        <w:spacing w:after="120"/>
        <w:ind w:firstLine="709"/>
        <w:jc w:val="both"/>
      </w:pPr>
      <w:r>
        <w:rPr>
          <w:rFonts w:ascii="Arial" w:cs="Arial" w:eastAsia="Arial" w:hAnsi="Arial"/>
          <w:sz w:val="24"/>
          <w:szCs w:val="24"/>
        </w:rPr>
        <w:t xml:space="preserve">14) персональный ассистент ребенка и/или лица с ограниченными возможностями здоровья, нуждающегося в постоянном уходе и надзоре.»;</w:t>
      </w:r>
    </w:p>
    <w:p>
      <w:pPr>
        <w:spacing w:after="120"/>
        <w:ind w:firstLine="709"/>
        <w:jc w:val="both"/>
      </w:pPr>
      <w:r>
        <w:rPr>
          <w:rFonts w:ascii="Arial" w:cs="Arial" w:eastAsia="Arial" w:hAnsi="Arial"/>
          <w:sz w:val="24"/>
          <w:szCs w:val="24"/>
        </w:rPr>
        <w:t xml:space="preserve">– дополнить абзацем вторым следующего содержания: </w:t>
      </w:r>
    </w:p>
    <w:p>
      <w:pPr>
        <w:spacing w:after="120"/>
        <w:ind w:firstLine="709"/>
        <w:jc w:val="both"/>
      </w:pPr>
      <w:r>
        <w:rPr>
          <w:rFonts w:ascii="Arial" w:cs="Arial" w:eastAsia="Arial" w:hAnsi="Arial"/>
          <w:sz w:val="24"/>
          <w:szCs w:val="24"/>
        </w:rPr>
        <w:t xml:space="preserve">«Индивидуальным предпринимателям и физическим лицам в свою пользу предоставляется право выбора осуществления начисления и уплаты страховых взносов посредством предоставления отчета или приобретения страхового полиса. Выбор производится один раз в год внесением изменения в регистрационные параметры путем обращения в территориальное подразделение уполномоченного государственного органа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в пункте 49:</w:t>
      </w:r>
    </w:p>
    <w:p>
      <w:pPr>
        <w:spacing w:after="120"/>
        <w:ind w:firstLine="709"/>
        <w:jc w:val="both"/>
      </w:pPr>
      <w:r>
        <w:rPr>
          <w:rFonts w:ascii="Arial" w:cs="Arial" w:eastAsia="Arial" w:hAnsi="Arial"/>
          <w:sz w:val="24"/>
          <w:szCs w:val="24"/>
        </w:rPr>
        <w:t xml:space="preserve">– абзац третий изложить в следующей редакции: </w:t>
      </w:r>
    </w:p>
    <w:p>
      <w:pPr>
        <w:spacing w:after="120"/>
        <w:ind w:firstLine="709"/>
        <w:jc w:val="both"/>
      </w:pPr>
      <w:r>
        <w:rPr>
          <w:rFonts w:ascii="Arial" w:cs="Arial" w:eastAsia="Arial" w:hAnsi="Arial"/>
          <w:sz w:val="24"/>
          <w:szCs w:val="24"/>
        </w:rPr>
        <w:t xml:space="preserve">«Электронный страховой полис выдается территориальными подразделениями уполномоченного органа по месту осуществления предпринимательской деятельности или по месту жительства индивидуального предпринимателя, физического лица, а также приобретается через личный кабинет налогоплательщика и через цифровые платформы третьих лиц (коммерческих банков, операторов мобильной связи и т.д.) по форме, в сроки и в порядке, утвержденным уполномоченным органом.»;</w:t>
      </w:r>
    </w:p>
    <w:p>
      <w:pPr>
        <w:spacing w:after="120"/>
        <w:ind w:firstLine="709"/>
        <w:jc w:val="both"/>
      </w:pPr>
      <w:r>
        <w:rPr>
          <w:rFonts w:ascii="Arial" w:cs="Arial" w:eastAsia="Arial" w:hAnsi="Arial"/>
          <w:sz w:val="24"/>
          <w:szCs w:val="24"/>
        </w:rPr>
        <w:t xml:space="preserve">– дополнить абзацами четвертым – одиннадцатым следующего содержания:</w:t>
      </w:r>
    </w:p>
    <w:p>
      <w:pPr>
        <w:spacing w:after="120"/>
        <w:ind w:firstLine="709"/>
        <w:jc w:val="both"/>
      </w:pPr>
      <w:r>
        <w:rPr>
          <w:rFonts w:ascii="Arial" w:cs="Arial" w:eastAsia="Arial" w:hAnsi="Arial"/>
          <w:sz w:val="24"/>
          <w:szCs w:val="24"/>
        </w:rPr>
        <w:t xml:space="preserve">«Индивидуальные предприниматели, физические лица, осуществляющие предпринимательскую деятельность на основании патента, приобретают страховые полисы на срок действия патента.</w:t>
      </w:r>
    </w:p>
    <w:p>
      <w:pPr>
        <w:spacing w:after="120"/>
        <w:ind w:firstLine="709"/>
        <w:jc w:val="both"/>
      </w:pPr>
      <w:r>
        <w:rPr>
          <w:rFonts w:ascii="Arial" w:cs="Arial" w:eastAsia="Arial" w:hAnsi="Arial"/>
          <w:sz w:val="24"/>
          <w:szCs w:val="24"/>
        </w:rPr>
        <w:t xml:space="preserve">Для определения стоимости страхового полиса, приобретаемого на срок действия патента, исчисляется сумма страхового взноса за 
 1 день путем деления его месячной суммы на количество дней в месяце, равное 30 дням. Далее однодневная сумма страхового взноса умножается на количество дней срока, на который выдан патент.</w:t>
      </w:r>
    </w:p>
    <w:p>
      <w:pPr>
        <w:spacing w:after="120"/>
        <w:ind w:firstLine="709"/>
        <w:jc w:val="both"/>
      </w:pPr>
      <w:r>
        <w:rPr>
          <w:rFonts w:ascii="Arial" w:cs="Arial" w:eastAsia="Arial" w:hAnsi="Arial"/>
          <w:sz w:val="24"/>
          <w:szCs w:val="24"/>
        </w:rPr>
        <w:t xml:space="preserve">Пример:</w:t>
      </w:r>
    </w:p>
    <w:p>
      <w:pPr>
        <w:spacing w:after="120"/>
        <w:ind w:firstLine="709"/>
        <w:jc w:val="both"/>
      </w:pPr>
      <w:r>
        <w:rPr>
          <w:rFonts w:ascii="Arial" w:cs="Arial" w:eastAsia="Arial" w:hAnsi="Arial"/>
          <w:sz w:val="24"/>
          <w:szCs w:val="24"/>
        </w:rPr>
        <w:t xml:space="preserve">индивидуальный предприниматель Касымов Э. в 2024 году приобретает патент на вид деятельности «Услуги по организации отдыха и развлечений: а) платные настольные игры за 1 стол/доску (теннис, шахматы, нарды и прочие настольные игры)» сроком на 15 (пятнадцать) дней в г. Бишкек. Ежемесячная ставка тарифа для него установлена в размере не менее 6 % от среднемесячной заработной платы. Сумма страхового взноса, подлежащая уплате за 15 (пятнадцать) дней, будет рассчитана следующим образом.</w:t>
      </w:r>
    </w:p>
    <w:p>
      <w:pPr>
        <w:spacing w:after="120"/>
        <w:ind w:firstLine="709"/>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на которых более чем на 50 % превышает средний уровень заработной платы по республике в целом, по городу Бишкек за 
 2022 год – для исчисления страховых взносов в 2024 году составляет 20390 сомов.</w:t>
      </w:r>
    </w:p>
    <w:p>
      <w:pPr>
        <w:spacing w:after="120"/>
        <w:ind w:firstLine="709"/>
        <w:jc w:val="both"/>
      </w:pPr>
      <w:r>
        <w:rPr>
          <w:rFonts w:ascii="Arial" w:cs="Arial" w:eastAsia="Arial" w:hAnsi="Arial"/>
          <w:sz w:val="24"/>
          <w:szCs w:val="24"/>
        </w:rPr>
        <w:t xml:space="preserve">20390 сомов * 6 % / 30 дней * 15 дней = 612 сомов.</w:t>
      </w:r>
    </w:p>
    <w:p>
      <w:pPr>
        <w:spacing w:after="120"/>
        <w:ind w:firstLine="709"/>
        <w:jc w:val="both"/>
      </w:pPr>
      <w:r>
        <w:rPr>
          <w:rFonts w:ascii="Arial" w:cs="Arial" w:eastAsia="Arial" w:hAnsi="Arial"/>
          <w:sz w:val="24"/>
          <w:szCs w:val="24"/>
        </w:rPr>
        <w:t xml:space="preserve">Для лиц, уплачивающих налоги по упрощенной системе налогообложения на основе единого налога (в том числе получающих доход от сдачи в аренду движимого и недвижимого имущества), работающих на основании выданных лицензий, а также получающих гонорары (вознаграждение), полис выдается на число календарных дней в месяце. </w:t>
      </w:r>
    </w:p>
    <w:p>
      <w:pPr>
        <w:spacing w:after="120"/>
        <w:ind w:firstLine="709"/>
        <w:jc w:val="both"/>
      </w:pPr>
      <w:r>
        <w:rPr>
          <w:rFonts w:ascii="Arial" w:cs="Arial" w:eastAsia="Arial" w:hAnsi="Arial"/>
          <w:sz w:val="24"/>
          <w:szCs w:val="24"/>
        </w:rPr>
        <w:t xml:space="preserve">При этом страховой полис </w:t>
      </w:r>
      <w:r>
        <w:rPr>
          <w:rFonts w:ascii="Arial" w:cs="Arial" w:eastAsia="Arial" w:hAnsi="Arial"/>
          <w:sz w:val="24"/>
          <w:szCs w:val="24"/>
        </w:rPr>
        <w:t xml:space="preserve">может </w:t>
      </w:r>
      <w:r>
        <w:rPr>
          <w:rFonts w:ascii="Arial" w:cs="Arial" w:eastAsia="Arial" w:hAnsi="Arial"/>
          <w:sz w:val="24"/>
          <w:szCs w:val="24"/>
        </w:rPr>
        <w:t xml:space="preserve">приобретаться до начала осуществления деятельности за отчетный месяц или за отчетный месяц в следующем месяце.»;</w:t>
      </w:r>
    </w:p>
    <w:p>
      <w:pPr>
        <w:spacing w:after="120"/>
        <w:ind w:firstLine="709"/>
        <w:jc w:val="both"/>
      </w:pPr>
      <w:r>
        <w:rPr>
          <w:rFonts w:ascii="Arial" w:cs="Arial" w:eastAsia="Arial" w:hAnsi="Arial"/>
          <w:sz w:val="24"/>
          <w:szCs w:val="24"/>
        </w:rPr>
        <w:t xml:space="preserve">9) пункт 53 изложить в следующей редакции: </w:t>
      </w:r>
    </w:p>
    <w:p>
      <w:pPr>
        <w:spacing w:after="120"/>
        <w:ind w:firstLine="709"/>
        <w:jc w:val="both"/>
      </w:pPr>
      <w:r>
        <w:rPr>
          <w:rFonts w:ascii="Arial" w:cs="Arial" w:eastAsia="Arial" w:hAnsi="Arial"/>
          <w:sz w:val="24"/>
          <w:szCs w:val="24"/>
        </w:rPr>
        <w:t xml:space="preserve">«53. Сроки уплаты страховых взносов для плательщиков, указанных в пункте 29 настоящей Инструкции, устанавливаются не позднее 1 ноября текущего года.»;</w:t>
      </w:r>
    </w:p>
    <w:p>
      <w:pPr>
        <w:spacing w:after="120"/>
        <w:ind w:firstLine="708"/>
        <w:jc w:val="both"/>
      </w:pPr>
      <w:r>
        <w:rPr>
          <w:rFonts w:ascii="Arial" w:cs="Arial" w:eastAsia="Arial" w:hAnsi="Arial"/>
          <w:sz w:val="24"/>
          <w:szCs w:val="24"/>
        </w:rPr>
        <w:t xml:space="preserve">10) в пунктах 72, 73 слова «в пункте 32» заменить словами «в пункте 29»;</w:t>
      </w:r>
    </w:p>
    <w:p>
      <w:pPr>
        <w:spacing w:after="120"/>
        <w:ind w:firstLine="709"/>
        <w:jc w:val="both"/>
      </w:pPr>
      <w:r>
        <w:rPr>
          <w:rFonts w:ascii="Arial" w:cs="Arial" w:eastAsia="Arial" w:hAnsi="Arial"/>
          <w:sz w:val="24"/>
          <w:szCs w:val="24"/>
        </w:rPr>
        <w:t xml:space="preserve">11) приложение 1 к вышеуказанной Инструкции изложить в редакции согласно приложению 1 к настоящему постановлению;</w:t>
      </w:r>
    </w:p>
    <w:p>
      <w:pPr>
        <w:spacing w:after="120"/>
        <w:ind w:firstLine="709"/>
        <w:jc w:val="both"/>
      </w:pPr>
      <w:r>
        <w:rPr>
          <w:rFonts w:ascii="Arial" w:cs="Arial" w:eastAsia="Arial" w:hAnsi="Arial"/>
          <w:sz w:val="24"/>
          <w:szCs w:val="24"/>
        </w:rPr>
        <w:t xml:space="preserve">12) в приложении 2 к вышеуказанной Инструкции слова «ФИО начальника территориального подразделения уполномоченного государственного органа» заменить словами «Ф.И.О. начальника регионального органа страховщика»;</w:t>
      </w:r>
    </w:p>
    <w:p>
      <w:pPr>
        <w:spacing w:after="120"/>
        <w:ind w:firstLine="709"/>
        <w:jc w:val="both"/>
      </w:pPr>
      <w:r>
        <w:rPr>
          <w:rFonts w:ascii="Arial" w:cs="Arial" w:eastAsia="Arial" w:hAnsi="Arial"/>
          <w:sz w:val="24"/>
          <w:szCs w:val="24"/>
        </w:rPr>
        <w:t xml:space="preserve">13) приложение 3 к вышеуказанной Инструкции изложить в редакции согласно приложению 2 к настоящему постановлению;</w:t>
      </w:r>
    </w:p>
    <w:p>
      <w:pPr>
        <w:spacing w:after="120"/>
        <w:ind w:firstLine="709"/>
        <w:jc w:val="both"/>
      </w:pPr>
      <w:r>
        <w:rPr>
          <w:rFonts w:ascii="Arial" w:cs="Arial" w:eastAsia="Arial" w:hAnsi="Arial"/>
          <w:sz w:val="24"/>
          <w:szCs w:val="24"/>
        </w:rPr>
        <w:t xml:space="preserve">14) в приложении 4 к вышеуказанной Инструкции слова «ФИО начальника территориального подразделения уполномоченного государственного органа» заменить словами «Ф.И.О. начальника регионального органа страховщика»;</w:t>
      </w:r>
    </w:p>
    <w:p>
      <w:pPr>
        <w:spacing w:after="120"/>
        <w:ind w:firstLine="709"/>
        <w:jc w:val="both"/>
      </w:pPr>
      <w:r>
        <w:rPr>
          <w:rFonts w:ascii="Arial" w:cs="Arial" w:eastAsia="Arial" w:hAnsi="Arial"/>
          <w:sz w:val="24"/>
          <w:szCs w:val="24"/>
        </w:rPr>
        <w:t xml:space="preserve">15) приложение 5 к вышеуказанной Инструкции изложить в редакции согласно приложению 3 к настоящему постановлению.</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Настоящее постановление вступает в силу по истечении пятнадцати дней со дня официального опубликования, за исключением абзаца девятого подпункта 7 пункта 1 настоящего постановления, который вступает в силу с 16 декабря 2024 года.</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"Эркин-Тоо" от 18 июля 2025 года № 53 (3709)</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kdajyfjfr8qrdtohfcn">
      <w:r>
        <w:rPr>
          <w:rFonts w:ascii="Arial" w:cs="Arial" w:eastAsia="Arial" w:hAnsi="Arial"/>
          <w:color w:val="132D3F"/>
          <w:sz w:val="16"/>
          <w:szCs w:val="16"/>
          <w:u w:val="single"/>
        </w:rPr>
        <w:t xml:space="preserve">dalil.kg/document/230029433</w:t>
      </w:r>
    </w:hyperlink>
  </w:p>
  <w:p>
    <w:pPr>
      <w:spacing w:after="0" w:before="40"/>
      <w:jc w:val="center"/>
    </w:pPr>
    <w:hyperlink w:history="1" r:id="rIdpawij4r1bj3yqu9x3dz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3o5ocpqboopszu5mis3" Type="http://schemas.openxmlformats.org/officeDocument/2006/relationships/hyperlink" Target="https://dalil.kg/document/1393" TargetMode="External"/><Relationship Id="rIdrtk0tj4uvq7qhwtj9zpkt" Type="http://schemas.openxmlformats.org/officeDocument/2006/relationships/hyperlink" Target="https://dalil.kg/document/112301#st_13" TargetMode="External"/><Relationship Id="rId7byoqrhurhuneh4ebsppy" Type="http://schemas.openxmlformats.org/officeDocument/2006/relationships/hyperlink" Target="https://dalil.kg/document/112301#st_17" TargetMode="External"/><Relationship Id="rIdi46twsvlr93fmxzwdcp_o" Type="http://schemas.openxmlformats.org/officeDocument/2006/relationships/hyperlink" Target="https://dalil.kg/document/230018763" TargetMode="External"/><Relationship Id="rIdlf6tb0979ap4khgnqlahh" Type="http://schemas.openxmlformats.org/officeDocument/2006/relationships/hyperlink" Target="https://dalil.kg/document/2300201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kdajyfjfr8qrdtohfcn" Type="http://schemas.openxmlformats.org/officeDocument/2006/relationships/hyperlink" Target="https://dalil.kg/document/230029433" TargetMode="External"/><Relationship Id="rIdpawij4r1bj3yqu9x3dz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2026-09-24T20:42:39.937Z</dcterms:created>
  <dcterms:modified xsi:type="dcterms:W3CDTF">2026-09-24T20:42:39.938Z</dcterms:modified>
</cp:coreProperties>
</file>

<file path=docProps/custom.xml><?xml version="1.0" encoding="utf-8"?>
<Properties xmlns="http://schemas.openxmlformats.org/officeDocument/2006/custom-properties" xmlns:vt="http://schemas.openxmlformats.org/officeDocument/2006/docPropsVTypes"/>
</file>